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F6" w:rsidRPr="00A66252" w:rsidRDefault="00606EF6" w:rsidP="00A66252">
      <w:pPr>
        <w:jc w:val="center"/>
        <w:rPr>
          <w:rFonts w:ascii="Times New Roman" w:hAnsi="Times New Roman" w:cs="Times New Roman"/>
          <w:lang w:val="fr-FR"/>
        </w:rPr>
      </w:pPr>
    </w:p>
    <w:p w:rsidR="00606EF6" w:rsidRPr="00A66252" w:rsidRDefault="00606EF6"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r w:rsidRPr="00A66252">
        <w:rPr>
          <w:rFonts w:ascii="Times New Roman" w:hAnsi="Times New Roman" w:cs="Times New Roman"/>
          <w:lang w:val="fr-FR"/>
        </w:rPr>
        <w:t>GRANDE CHAMBRE</w:t>
      </w: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b/>
          <w:lang w:val="fr-FR"/>
        </w:rPr>
      </w:pPr>
      <w:r w:rsidRPr="00A66252">
        <w:rPr>
          <w:rFonts w:ascii="Times New Roman" w:hAnsi="Times New Roman" w:cs="Times New Roman"/>
          <w:b/>
          <w:lang w:val="fr-FR"/>
        </w:rPr>
        <w:t>AFFAIRE PAPOSHVILI c. BELGIQUE</w:t>
      </w: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i/>
          <w:lang w:val="fr-FR"/>
        </w:rPr>
      </w:pPr>
      <w:r w:rsidRPr="00A66252">
        <w:rPr>
          <w:rFonts w:ascii="Times New Roman" w:hAnsi="Times New Roman" w:cs="Times New Roman"/>
          <w:i/>
          <w:lang w:val="fr-FR"/>
        </w:rPr>
        <w:t>(Requête n</w:t>
      </w:r>
      <w:r w:rsidRPr="00A66252">
        <w:rPr>
          <w:rFonts w:ascii="Times New Roman" w:hAnsi="Times New Roman" w:cs="Times New Roman"/>
          <w:i/>
          <w:vertAlign w:val="superscript"/>
          <w:lang w:val="fr-FR"/>
        </w:rPr>
        <w:t>o</w:t>
      </w:r>
      <w:r w:rsidRPr="00A66252">
        <w:rPr>
          <w:rFonts w:ascii="Times New Roman" w:hAnsi="Times New Roman" w:cs="Times New Roman"/>
          <w:i/>
          <w:lang w:val="fr-FR"/>
        </w:rPr>
        <w:t xml:space="preserve"> 41738/10)</w:t>
      </w: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r w:rsidRPr="00A66252">
        <w:rPr>
          <w:rFonts w:ascii="Times New Roman" w:hAnsi="Times New Roman" w:cs="Times New Roman"/>
          <w:lang w:val="fr-FR"/>
        </w:rPr>
        <w:t>ARRÊT</w:t>
      </w:r>
    </w:p>
    <w:p w:rsidR="00A66252" w:rsidRPr="00A66252" w:rsidRDefault="00A66252" w:rsidP="00A66252">
      <w:pPr>
        <w:jc w:val="center"/>
        <w:rPr>
          <w:rFonts w:ascii="Times New Roman" w:hAnsi="Times New Roman" w:cs="Times New Roman"/>
          <w:i/>
          <w:lang w:val="fr-FR"/>
        </w:rPr>
      </w:pP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r w:rsidRPr="00A66252">
        <w:rPr>
          <w:rFonts w:ascii="Times New Roman" w:hAnsi="Times New Roman" w:cs="Times New Roman"/>
          <w:lang w:val="fr-FR"/>
        </w:rPr>
        <w:t>STRASBOURG</w:t>
      </w:r>
    </w:p>
    <w:p w:rsidR="00A66252" w:rsidRPr="00A66252" w:rsidRDefault="00A66252" w:rsidP="00A66252">
      <w:pPr>
        <w:jc w:val="center"/>
        <w:rPr>
          <w:rFonts w:ascii="Times New Roman" w:hAnsi="Times New Roman" w:cs="Times New Roman"/>
          <w:lang w:val="fr-FR"/>
        </w:rPr>
      </w:pPr>
    </w:p>
    <w:p w:rsidR="00A66252" w:rsidRPr="00A66252" w:rsidRDefault="00A66252" w:rsidP="00A66252">
      <w:pPr>
        <w:jc w:val="center"/>
        <w:rPr>
          <w:rFonts w:ascii="Times New Roman" w:hAnsi="Times New Roman" w:cs="Times New Roman"/>
          <w:lang w:val="fr-FR"/>
        </w:rPr>
      </w:pPr>
      <w:r w:rsidRPr="00A66252">
        <w:rPr>
          <w:rFonts w:ascii="Times New Roman" w:hAnsi="Times New Roman" w:cs="Times New Roman"/>
          <w:lang w:val="fr-FR"/>
        </w:rPr>
        <w:t>13 décembre 2016</w:t>
      </w:r>
    </w:p>
    <w:p w:rsidR="00606EF6" w:rsidRPr="00A66252" w:rsidRDefault="00606EF6" w:rsidP="00A66252">
      <w:pPr>
        <w:jc w:val="center"/>
        <w:rPr>
          <w:rFonts w:ascii="Times New Roman" w:hAnsi="Times New Roman" w:cs="Times New Roman"/>
          <w:lang w:val="fr-FR"/>
        </w:rPr>
      </w:pPr>
    </w:p>
    <w:p w:rsidR="00606EF6" w:rsidRPr="00A66252" w:rsidRDefault="00606EF6" w:rsidP="00A66252">
      <w:pPr>
        <w:jc w:val="center"/>
        <w:rPr>
          <w:rFonts w:ascii="Times New Roman" w:hAnsi="Times New Roman" w:cs="Times New Roman"/>
          <w:lang w:val="fr-FR"/>
        </w:rPr>
      </w:pPr>
    </w:p>
    <w:p w:rsidR="00606EF6" w:rsidRPr="00A66252" w:rsidRDefault="00606EF6" w:rsidP="00A66252">
      <w:pPr>
        <w:jc w:val="center"/>
        <w:rPr>
          <w:rFonts w:ascii="Times New Roman" w:hAnsi="Times New Roman" w:cs="Times New Roman"/>
          <w:lang w:val="fr-FR"/>
        </w:rPr>
      </w:pPr>
    </w:p>
    <w:p w:rsidR="00606EF6" w:rsidRPr="00A66252" w:rsidRDefault="00606EF6" w:rsidP="00A66252">
      <w:pPr>
        <w:jc w:val="center"/>
        <w:rPr>
          <w:rFonts w:ascii="Times New Roman" w:hAnsi="Times New Roman" w:cs="Times New Roman"/>
          <w:lang w:val="fr-FR"/>
        </w:rPr>
      </w:pPr>
    </w:p>
    <w:p w:rsidR="00606EF6" w:rsidRPr="00A66252" w:rsidRDefault="00606EF6" w:rsidP="00A66252">
      <w:pPr>
        <w:rPr>
          <w:rFonts w:ascii="Times New Roman" w:hAnsi="Times New Roman" w:cs="Times New Roman"/>
          <w:i/>
          <w:sz w:val="22"/>
          <w:lang w:val="fr-FR"/>
        </w:rPr>
      </w:pPr>
      <w:r w:rsidRPr="00A66252">
        <w:rPr>
          <w:rFonts w:ascii="Times New Roman" w:hAnsi="Times New Roman" w:cs="Times New Roman"/>
          <w:i/>
          <w:sz w:val="22"/>
          <w:lang w:val="fr-FR"/>
        </w:rPr>
        <w:t>Cet arrêt est définitif. Il peut subir des retouches de forme.</w:t>
      </w:r>
    </w:p>
    <w:p w:rsidR="009472B8" w:rsidRPr="00A66252" w:rsidRDefault="009472B8" w:rsidP="00A66252">
      <w:pPr>
        <w:pStyle w:val="ECHRPara"/>
        <w:ind w:firstLine="0"/>
        <w:jc w:val="left"/>
        <w:rPr>
          <w:lang w:val="fr-FR"/>
        </w:rPr>
        <w:sectPr w:rsidR="009472B8" w:rsidRPr="00A66252" w:rsidSect="009472B8">
          <w:headerReference w:type="even" r:id="rId12"/>
          <w:headerReference w:type="default" r:id="rId13"/>
          <w:footerReference w:type="even" r:id="rId14"/>
          <w:headerReference w:type="first" r:id="rId15"/>
          <w:footerReference w:type="first" r:id="rId16"/>
          <w:pgSz w:w="11906" w:h="16838" w:code="9"/>
          <w:pgMar w:top="2274" w:right="2274" w:bottom="2274" w:left="2274" w:header="1701" w:footer="720" w:gutter="0"/>
          <w:pgNumType w:start="1"/>
          <w:cols w:space="720"/>
          <w:titlePg/>
          <w:docGrid w:linePitch="326"/>
        </w:sectPr>
      </w:pPr>
    </w:p>
    <w:p w:rsidR="00E77CB3" w:rsidRPr="00A66252" w:rsidRDefault="00E77CB3" w:rsidP="00A66252">
      <w:pPr>
        <w:pStyle w:val="JuCase"/>
        <w:rPr>
          <w:lang w:val="fr-FR"/>
        </w:rPr>
      </w:pPr>
      <w:r w:rsidRPr="00A66252">
        <w:rPr>
          <w:lang w:val="fr-FR"/>
        </w:rPr>
        <w:lastRenderedPageBreak/>
        <w:t>En l</w:t>
      </w:r>
      <w:r w:rsidR="00A66252" w:rsidRPr="00A66252">
        <w:rPr>
          <w:lang w:val="fr-FR"/>
        </w:rPr>
        <w:t>’</w:t>
      </w:r>
      <w:r w:rsidRPr="00A66252">
        <w:rPr>
          <w:lang w:val="fr-FR"/>
        </w:rPr>
        <w:t xml:space="preserve">affaire </w:t>
      </w:r>
      <w:proofErr w:type="spellStart"/>
      <w:r w:rsidR="002A4CEB" w:rsidRPr="00A66252">
        <w:rPr>
          <w:lang w:val="fr-FR"/>
        </w:rPr>
        <w:t>Paposhvili</w:t>
      </w:r>
      <w:proofErr w:type="spellEnd"/>
      <w:r w:rsidR="002A4CEB" w:rsidRPr="00A66252">
        <w:rPr>
          <w:lang w:val="fr-FR"/>
        </w:rPr>
        <w:t xml:space="preserve"> c. Belgique</w:t>
      </w:r>
      <w:r w:rsidRPr="00A66252">
        <w:rPr>
          <w:lang w:val="fr-FR"/>
        </w:rPr>
        <w:t>,</w:t>
      </w:r>
    </w:p>
    <w:p w:rsidR="00E77CB3" w:rsidRPr="00A66252" w:rsidRDefault="00E77CB3" w:rsidP="00A66252">
      <w:pPr>
        <w:pStyle w:val="ECHRPara"/>
        <w:rPr>
          <w:lang w:val="fr-FR"/>
        </w:rPr>
      </w:pPr>
      <w:r w:rsidRPr="00A66252">
        <w:rPr>
          <w:lang w:val="fr-FR"/>
        </w:rPr>
        <w:t>La Cour européenne des droits de l</w:t>
      </w:r>
      <w:r w:rsidR="00A66252" w:rsidRPr="00A66252">
        <w:rPr>
          <w:lang w:val="fr-FR"/>
        </w:rPr>
        <w:t>’</w:t>
      </w:r>
      <w:r w:rsidRPr="00A66252">
        <w:rPr>
          <w:lang w:val="fr-FR"/>
        </w:rPr>
        <w:t xml:space="preserve">homme siégeant en </w:t>
      </w:r>
      <w:r w:rsidR="002A4CEB" w:rsidRPr="00A66252">
        <w:rPr>
          <w:lang w:val="fr-FR"/>
        </w:rPr>
        <w:t>une Grande Chambre composée</w:t>
      </w:r>
      <w:r w:rsidRPr="00A66252">
        <w:rPr>
          <w:lang w:val="fr-FR"/>
        </w:rPr>
        <w:t xml:space="preserve"> de :</w:t>
      </w:r>
    </w:p>
    <w:p w:rsidR="008824F7" w:rsidRPr="00A66252" w:rsidRDefault="008824F7" w:rsidP="00A66252">
      <w:pPr>
        <w:pStyle w:val="ECHRPara"/>
        <w:jc w:val="left"/>
        <w:rPr>
          <w:lang w:val="fr-FR"/>
        </w:rPr>
      </w:pPr>
      <w:r w:rsidRPr="00A66252">
        <w:rPr>
          <w:lang w:val="fr-FR"/>
        </w:rPr>
        <w:tab/>
        <w:t>Guido Raimondi,</w:t>
      </w:r>
      <w:r w:rsidRPr="00A66252">
        <w:rPr>
          <w:i/>
          <w:lang w:val="fr-FR"/>
        </w:rPr>
        <w:t xml:space="preserve"> président,</w:t>
      </w:r>
      <w:r w:rsidRPr="00A66252">
        <w:rPr>
          <w:i/>
          <w:lang w:val="fr-FR"/>
        </w:rPr>
        <w:br/>
      </w:r>
      <w:r w:rsidRPr="00A66252">
        <w:rPr>
          <w:lang w:val="fr-FR"/>
        </w:rPr>
        <w:tab/>
      </w:r>
      <w:proofErr w:type="spellStart"/>
      <w:r w:rsidRPr="00A66252">
        <w:rPr>
          <w:lang w:val="fr-FR"/>
        </w:rPr>
        <w:t>Işıl</w:t>
      </w:r>
      <w:proofErr w:type="spellEnd"/>
      <w:r w:rsidRPr="00A66252">
        <w:rPr>
          <w:lang w:val="fr-FR"/>
        </w:rPr>
        <w:t xml:space="preserve"> </w:t>
      </w:r>
      <w:proofErr w:type="spellStart"/>
      <w:r w:rsidRPr="00A66252">
        <w:rPr>
          <w:lang w:val="fr-FR"/>
        </w:rPr>
        <w:t>Karakaş</w:t>
      </w:r>
      <w:proofErr w:type="spellEnd"/>
      <w:r w:rsidRPr="00A66252">
        <w:rPr>
          <w:lang w:val="fr-FR"/>
        </w:rPr>
        <w:t>,</w:t>
      </w:r>
      <w:r w:rsidRPr="00A66252">
        <w:rPr>
          <w:i/>
          <w:lang w:val="fr-FR"/>
        </w:rPr>
        <w:br/>
      </w:r>
      <w:r w:rsidRPr="00A66252">
        <w:rPr>
          <w:lang w:val="fr-FR"/>
        </w:rPr>
        <w:tab/>
        <w:t xml:space="preserve">Luis </w:t>
      </w:r>
      <w:proofErr w:type="spellStart"/>
      <w:r w:rsidRPr="00A66252">
        <w:rPr>
          <w:lang w:val="fr-FR"/>
        </w:rPr>
        <w:t>López</w:t>
      </w:r>
      <w:proofErr w:type="spellEnd"/>
      <w:r w:rsidRPr="00A66252">
        <w:rPr>
          <w:lang w:val="fr-FR"/>
        </w:rPr>
        <w:t xml:space="preserve"> Guerra,</w:t>
      </w:r>
      <w:r w:rsidRPr="00A66252">
        <w:rPr>
          <w:i/>
          <w:lang w:val="fr-FR"/>
        </w:rPr>
        <w:br/>
      </w:r>
      <w:r w:rsidRPr="00A66252">
        <w:rPr>
          <w:lang w:val="fr-FR"/>
        </w:rPr>
        <w:tab/>
      </w:r>
      <w:proofErr w:type="spellStart"/>
      <w:r w:rsidRPr="00A66252">
        <w:rPr>
          <w:lang w:val="fr-FR"/>
        </w:rPr>
        <w:t>Khanlar</w:t>
      </w:r>
      <w:proofErr w:type="spellEnd"/>
      <w:r w:rsidRPr="00A66252">
        <w:rPr>
          <w:lang w:val="fr-FR"/>
        </w:rPr>
        <w:t xml:space="preserve"> </w:t>
      </w:r>
      <w:proofErr w:type="spellStart"/>
      <w:r w:rsidRPr="00A66252">
        <w:rPr>
          <w:lang w:val="fr-FR"/>
        </w:rPr>
        <w:t>Hajiyev</w:t>
      </w:r>
      <w:proofErr w:type="spellEnd"/>
      <w:r w:rsidRPr="00A66252">
        <w:rPr>
          <w:lang w:val="fr-FR"/>
        </w:rPr>
        <w:t>,</w:t>
      </w:r>
      <w:r w:rsidRPr="00A66252">
        <w:rPr>
          <w:i/>
          <w:lang w:val="fr-FR"/>
        </w:rPr>
        <w:br/>
      </w:r>
      <w:r w:rsidRPr="00A66252">
        <w:rPr>
          <w:lang w:val="fr-FR"/>
        </w:rPr>
        <w:tab/>
      </w:r>
      <w:proofErr w:type="spellStart"/>
      <w:r w:rsidRPr="00A66252">
        <w:rPr>
          <w:lang w:val="fr-FR"/>
        </w:rPr>
        <w:t>Nebojša</w:t>
      </w:r>
      <w:proofErr w:type="spellEnd"/>
      <w:r w:rsidRPr="00A66252">
        <w:rPr>
          <w:lang w:val="fr-FR"/>
        </w:rPr>
        <w:t xml:space="preserve"> </w:t>
      </w:r>
      <w:proofErr w:type="spellStart"/>
      <w:r w:rsidRPr="00A66252">
        <w:rPr>
          <w:lang w:val="fr-FR"/>
        </w:rPr>
        <w:t>Vučinić</w:t>
      </w:r>
      <w:proofErr w:type="spellEnd"/>
      <w:r w:rsidRPr="00A66252">
        <w:rPr>
          <w:lang w:val="fr-FR"/>
        </w:rPr>
        <w:t>,</w:t>
      </w:r>
      <w:r w:rsidRPr="00A66252">
        <w:rPr>
          <w:i/>
          <w:lang w:val="fr-FR"/>
        </w:rPr>
        <w:br/>
      </w:r>
      <w:r w:rsidRPr="00A66252">
        <w:rPr>
          <w:lang w:val="fr-FR"/>
        </w:rPr>
        <w:tab/>
        <w:t xml:space="preserve">Kristina </w:t>
      </w:r>
      <w:proofErr w:type="spellStart"/>
      <w:r w:rsidRPr="00A66252">
        <w:rPr>
          <w:lang w:val="fr-FR"/>
        </w:rPr>
        <w:t>Pardalos</w:t>
      </w:r>
      <w:proofErr w:type="spellEnd"/>
      <w:r w:rsidRPr="00A66252">
        <w:rPr>
          <w:lang w:val="fr-FR"/>
        </w:rPr>
        <w:t>,</w:t>
      </w:r>
      <w:r w:rsidRPr="00A66252">
        <w:rPr>
          <w:i/>
          <w:lang w:val="fr-FR"/>
        </w:rPr>
        <w:br/>
      </w:r>
      <w:r w:rsidRPr="00A66252">
        <w:rPr>
          <w:lang w:val="fr-FR"/>
        </w:rPr>
        <w:tab/>
        <w:t xml:space="preserve">Julia </w:t>
      </w:r>
      <w:proofErr w:type="spellStart"/>
      <w:r w:rsidRPr="00A66252">
        <w:rPr>
          <w:lang w:val="fr-FR"/>
        </w:rPr>
        <w:t>Laffranque</w:t>
      </w:r>
      <w:proofErr w:type="spellEnd"/>
      <w:r w:rsidRPr="00A66252">
        <w:rPr>
          <w:lang w:val="fr-FR"/>
        </w:rPr>
        <w:t>,</w:t>
      </w:r>
      <w:r w:rsidRPr="00A66252">
        <w:rPr>
          <w:i/>
          <w:lang w:val="fr-FR"/>
        </w:rPr>
        <w:br/>
      </w:r>
      <w:r w:rsidRPr="00A66252">
        <w:rPr>
          <w:lang w:val="fr-FR"/>
        </w:rPr>
        <w:tab/>
        <w:t>André Potocki,</w:t>
      </w:r>
      <w:r w:rsidRPr="00A66252">
        <w:rPr>
          <w:i/>
          <w:lang w:val="fr-FR"/>
        </w:rPr>
        <w:br/>
      </w:r>
      <w:r w:rsidRPr="00A66252">
        <w:rPr>
          <w:lang w:val="fr-FR"/>
        </w:rPr>
        <w:tab/>
        <w:t>Paul Lemmens,</w:t>
      </w:r>
      <w:r w:rsidRPr="00A66252">
        <w:rPr>
          <w:i/>
          <w:lang w:val="fr-FR"/>
        </w:rPr>
        <w:br/>
      </w:r>
      <w:r w:rsidRPr="00A66252">
        <w:rPr>
          <w:lang w:val="fr-FR"/>
        </w:rPr>
        <w:tab/>
        <w:t xml:space="preserve">Helena </w:t>
      </w:r>
      <w:proofErr w:type="spellStart"/>
      <w:r w:rsidRPr="00A66252">
        <w:rPr>
          <w:lang w:val="fr-FR"/>
        </w:rPr>
        <w:t>Jäderblom</w:t>
      </w:r>
      <w:proofErr w:type="spellEnd"/>
      <w:r w:rsidRPr="00A66252">
        <w:rPr>
          <w:lang w:val="fr-FR"/>
        </w:rPr>
        <w:t>,</w:t>
      </w:r>
      <w:r w:rsidRPr="00A66252">
        <w:rPr>
          <w:i/>
          <w:lang w:val="fr-FR"/>
        </w:rPr>
        <w:br/>
      </w:r>
      <w:r w:rsidRPr="00A66252">
        <w:rPr>
          <w:lang w:val="fr-FR"/>
        </w:rPr>
        <w:tab/>
      </w:r>
      <w:proofErr w:type="spellStart"/>
      <w:r w:rsidRPr="00A66252">
        <w:rPr>
          <w:lang w:val="fr-FR"/>
        </w:rPr>
        <w:t>Valeriu</w:t>
      </w:r>
      <w:proofErr w:type="spellEnd"/>
      <w:r w:rsidRPr="00A66252">
        <w:rPr>
          <w:lang w:val="fr-FR"/>
        </w:rPr>
        <w:t xml:space="preserve"> </w:t>
      </w:r>
      <w:proofErr w:type="spellStart"/>
      <w:r w:rsidRPr="00A66252">
        <w:rPr>
          <w:lang w:val="fr-FR"/>
        </w:rPr>
        <w:t>Griţco</w:t>
      </w:r>
      <w:proofErr w:type="spellEnd"/>
      <w:r w:rsidRPr="00A66252">
        <w:rPr>
          <w:lang w:val="fr-FR"/>
        </w:rPr>
        <w:t>,</w:t>
      </w:r>
      <w:r w:rsidRPr="00A66252">
        <w:rPr>
          <w:i/>
          <w:lang w:val="fr-FR"/>
        </w:rPr>
        <w:br/>
      </w:r>
      <w:r w:rsidRPr="00A66252">
        <w:rPr>
          <w:lang w:val="fr-FR"/>
        </w:rPr>
        <w:tab/>
        <w:t xml:space="preserve">Faris </w:t>
      </w:r>
      <w:proofErr w:type="spellStart"/>
      <w:r w:rsidRPr="00A66252">
        <w:rPr>
          <w:lang w:val="fr-FR"/>
        </w:rPr>
        <w:t>Vehabović</w:t>
      </w:r>
      <w:proofErr w:type="spellEnd"/>
      <w:r w:rsidRPr="00A66252">
        <w:rPr>
          <w:lang w:val="fr-FR"/>
        </w:rPr>
        <w:t>,</w:t>
      </w:r>
      <w:r w:rsidRPr="00A66252">
        <w:rPr>
          <w:i/>
          <w:lang w:val="fr-FR"/>
        </w:rPr>
        <w:br/>
      </w:r>
      <w:r w:rsidRPr="00A66252">
        <w:rPr>
          <w:lang w:val="fr-FR"/>
        </w:rPr>
        <w:tab/>
      </w:r>
      <w:proofErr w:type="spellStart"/>
      <w:r w:rsidRPr="00A66252">
        <w:rPr>
          <w:lang w:val="fr-FR"/>
        </w:rPr>
        <w:t>Ksenija</w:t>
      </w:r>
      <w:proofErr w:type="spellEnd"/>
      <w:r w:rsidRPr="00A66252">
        <w:rPr>
          <w:lang w:val="fr-FR"/>
        </w:rPr>
        <w:t xml:space="preserve"> </w:t>
      </w:r>
      <w:proofErr w:type="spellStart"/>
      <w:r w:rsidRPr="00A66252">
        <w:rPr>
          <w:lang w:val="fr-FR"/>
        </w:rPr>
        <w:t>Turković</w:t>
      </w:r>
      <w:proofErr w:type="spellEnd"/>
      <w:r w:rsidRPr="00A66252">
        <w:rPr>
          <w:lang w:val="fr-FR"/>
        </w:rPr>
        <w:t>,</w:t>
      </w:r>
      <w:r w:rsidRPr="00A66252">
        <w:rPr>
          <w:i/>
          <w:lang w:val="fr-FR"/>
        </w:rPr>
        <w:br/>
      </w:r>
      <w:r w:rsidRPr="00A66252">
        <w:rPr>
          <w:lang w:val="fr-FR"/>
        </w:rPr>
        <w:tab/>
      </w:r>
      <w:proofErr w:type="spellStart"/>
      <w:r w:rsidRPr="00A66252">
        <w:rPr>
          <w:lang w:val="fr-FR"/>
        </w:rPr>
        <w:t>Dmitry</w:t>
      </w:r>
      <w:proofErr w:type="spellEnd"/>
      <w:r w:rsidRPr="00A66252">
        <w:rPr>
          <w:lang w:val="fr-FR"/>
        </w:rPr>
        <w:t xml:space="preserve"> </w:t>
      </w:r>
      <w:proofErr w:type="spellStart"/>
      <w:r w:rsidRPr="00A66252">
        <w:rPr>
          <w:lang w:val="fr-FR"/>
        </w:rPr>
        <w:t>Dedov</w:t>
      </w:r>
      <w:proofErr w:type="spellEnd"/>
      <w:r w:rsidRPr="00A66252">
        <w:rPr>
          <w:lang w:val="fr-FR"/>
        </w:rPr>
        <w:t>,</w:t>
      </w:r>
      <w:r w:rsidRPr="00A66252">
        <w:rPr>
          <w:i/>
          <w:lang w:val="fr-FR"/>
        </w:rPr>
        <w:br/>
      </w:r>
      <w:r w:rsidRPr="00A66252">
        <w:rPr>
          <w:lang w:val="fr-FR"/>
        </w:rPr>
        <w:tab/>
      </w:r>
      <w:proofErr w:type="spellStart"/>
      <w:r w:rsidRPr="00A66252">
        <w:rPr>
          <w:lang w:val="fr-FR"/>
        </w:rPr>
        <w:t>Egidijus</w:t>
      </w:r>
      <w:proofErr w:type="spellEnd"/>
      <w:r w:rsidRPr="00A66252">
        <w:rPr>
          <w:lang w:val="fr-FR"/>
        </w:rPr>
        <w:t xml:space="preserve"> </w:t>
      </w:r>
      <w:proofErr w:type="spellStart"/>
      <w:r w:rsidRPr="00A66252">
        <w:rPr>
          <w:lang w:val="fr-FR"/>
        </w:rPr>
        <w:t>Kūris</w:t>
      </w:r>
      <w:proofErr w:type="spellEnd"/>
      <w:r w:rsidRPr="00A66252">
        <w:rPr>
          <w:lang w:val="fr-FR"/>
        </w:rPr>
        <w:t>,</w:t>
      </w:r>
      <w:r w:rsidRPr="00A66252">
        <w:rPr>
          <w:i/>
          <w:lang w:val="fr-FR"/>
        </w:rPr>
        <w:br/>
      </w:r>
      <w:r w:rsidRPr="00A66252">
        <w:rPr>
          <w:lang w:val="fr-FR"/>
        </w:rPr>
        <w:tab/>
        <w:t xml:space="preserve">Robert </w:t>
      </w:r>
      <w:proofErr w:type="spellStart"/>
      <w:r w:rsidRPr="00A66252">
        <w:rPr>
          <w:lang w:val="fr-FR"/>
        </w:rPr>
        <w:t>Spano</w:t>
      </w:r>
      <w:proofErr w:type="spellEnd"/>
      <w:r w:rsidRPr="00A66252">
        <w:rPr>
          <w:lang w:val="fr-FR"/>
        </w:rPr>
        <w:t>,</w:t>
      </w:r>
      <w:r w:rsidRPr="00A66252">
        <w:rPr>
          <w:i/>
          <w:lang w:val="fr-FR"/>
        </w:rPr>
        <w:br/>
      </w:r>
      <w:r w:rsidRPr="00A66252">
        <w:rPr>
          <w:lang w:val="fr-FR"/>
        </w:rPr>
        <w:tab/>
        <w:t xml:space="preserve">Jon </w:t>
      </w:r>
      <w:proofErr w:type="spellStart"/>
      <w:r w:rsidRPr="00A66252">
        <w:rPr>
          <w:lang w:val="fr-FR"/>
        </w:rPr>
        <w:t>Fridrik</w:t>
      </w:r>
      <w:proofErr w:type="spellEnd"/>
      <w:r w:rsidRPr="00A66252">
        <w:rPr>
          <w:lang w:val="fr-FR"/>
        </w:rPr>
        <w:t xml:space="preserve"> </w:t>
      </w:r>
      <w:proofErr w:type="spellStart"/>
      <w:r w:rsidRPr="00A66252">
        <w:rPr>
          <w:lang w:val="fr-FR"/>
        </w:rPr>
        <w:t>Kjølbro</w:t>
      </w:r>
      <w:proofErr w:type="spellEnd"/>
      <w:r w:rsidRPr="00A66252">
        <w:rPr>
          <w:lang w:val="fr-FR"/>
        </w:rPr>
        <w:t>,</w:t>
      </w:r>
      <w:r w:rsidRPr="00A66252">
        <w:rPr>
          <w:i/>
          <w:lang w:val="fr-FR"/>
        </w:rPr>
        <w:t xml:space="preserve"> juges,</w:t>
      </w:r>
    </w:p>
    <w:p w:rsidR="00E77CB3" w:rsidRPr="00A66252" w:rsidRDefault="00E77CB3" w:rsidP="00A66252">
      <w:pPr>
        <w:pStyle w:val="ECHRDecisionBody"/>
        <w:rPr>
          <w:lang w:val="fr-FR"/>
        </w:rPr>
      </w:pPr>
      <w:r w:rsidRPr="00A66252">
        <w:rPr>
          <w:lang w:val="fr-FR"/>
        </w:rPr>
        <w:t xml:space="preserve">et de </w:t>
      </w:r>
      <w:r w:rsidR="002A4CEB" w:rsidRPr="00A66252">
        <w:rPr>
          <w:lang w:val="fr-FR"/>
        </w:rPr>
        <w:t>Johan Callewaert</w:t>
      </w:r>
      <w:r w:rsidRPr="00A66252">
        <w:rPr>
          <w:lang w:val="fr-FR"/>
        </w:rPr>
        <w:t xml:space="preserve">, </w:t>
      </w:r>
      <w:r w:rsidR="002A4CEB" w:rsidRPr="00A66252">
        <w:rPr>
          <w:i/>
          <w:iCs/>
          <w:lang w:val="fr-FR"/>
        </w:rPr>
        <w:t>greffier</w:t>
      </w:r>
      <w:r w:rsidR="002C5937" w:rsidRPr="00A66252">
        <w:rPr>
          <w:i/>
          <w:iCs/>
          <w:lang w:val="fr-FR"/>
        </w:rPr>
        <w:t xml:space="preserve"> </w:t>
      </w:r>
      <w:r w:rsidR="002A4CEB" w:rsidRPr="00A66252">
        <w:rPr>
          <w:i/>
          <w:iCs/>
          <w:lang w:val="fr-FR"/>
        </w:rPr>
        <w:t>adjoint de la Grande Chambre</w:t>
      </w:r>
      <w:r w:rsidRPr="00A66252">
        <w:rPr>
          <w:lang w:val="fr-FR"/>
        </w:rPr>
        <w:t>,</w:t>
      </w:r>
    </w:p>
    <w:p w:rsidR="00E77CB3" w:rsidRPr="00A66252" w:rsidRDefault="00E77CB3" w:rsidP="00A66252">
      <w:pPr>
        <w:pStyle w:val="ECHRPara"/>
        <w:rPr>
          <w:lang w:val="fr-FR"/>
        </w:rPr>
      </w:pPr>
      <w:r w:rsidRPr="00A66252">
        <w:rPr>
          <w:lang w:val="fr-FR"/>
        </w:rPr>
        <w:t>Après en avoir délibéré en chambre du conseil le</w:t>
      </w:r>
      <w:r w:rsidR="00932DA2" w:rsidRPr="00A66252">
        <w:rPr>
          <w:lang w:val="fr-FR"/>
        </w:rPr>
        <w:t>s</w:t>
      </w:r>
      <w:r w:rsidRPr="00A66252">
        <w:rPr>
          <w:lang w:val="fr-FR"/>
        </w:rPr>
        <w:t xml:space="preserve"> </w:t>
      </w:r>
      <w:r w:rsidR="00E241E8" w:rsidRPr="00A66252">
        <w:rPr>
          <w:lang w:val="fr-FR"/>
        </w:rPr>
        <w:t>16 septembre 2015</w:t>
      </w:r>
      <w:r w:rsidR="008F472D" w:rsidRPr="00A66252">
        <w:rPr>
          <w:lang w:val="fr-FR"/>
        </w:rPr>
        <w:t>,</w:t>
      </w:r>
      <w:r w:rsidR="00E241E8" w:rsidRPr="00A66252">
        <w:rPr>
          <w:lang w:val="fr-FR"/>
        </w:rPr>
        <w:t xml:space="preserve"> 20</w:t>
      </w:r>
      <w:r w:rsidR="008D693B" w:rsidRPr="00A66252">
        <w:rPr>
          <w:lang w:val="fr-FR"/>
        </w:rPr>
        <w:t> </w:t>
      </w:r>
      <w:r w:rsidR="00E241E8" w:rsidRPr="00A66252">
        <w:rPr>
          <w:lang w:val="fr-FR"/>
        </w:rPr>
        <w:t>juin</w:t>
      </w:r>
      <w:r w:rsidRPr="00A66252">
        <w:rPr>
          <w:lang w:val="fr-FR"/>
        </w:rPr>
        <w:t>,</w:t>
      </w:r>
      <w:r w:rsidR="008F472D" w:rsidRPr="00A66252">
        <w:rPr>
          <w:lang w:val="fr-FR"/>
        </w:rPr>
        <w:t xml:space="preserve"> 22 septembre et </w:t>
      </w:r>
      <w:r w:rsidR="00CF02D6" w:rsidRPr="00A66252">
        <w:rPr>
          <w:lang w:val="fr-FR"/>
        </w:rPr>
        <w:t>1</w:t>
      </w:r>
      <w:r w:rsidR="002C5937" w:rsidRPr="00A66252">
        <w:rPr>
          <w:lang w:val="fr-FR"/>
        </w:rPr>
        <w:t>7</w:t>
      </w:r>
      <w:r w:rsidR="00CF02D6" w:rsidRPr="00A66252">
        <w:rPr>
          <w:lang w:val="fr-FR"/>
        </w:rPr>
        <w:t xml:space="preserve"> novembre</w:t>
      </w:r>
      <w:r w:rsidR="008F472D" w:rsidRPr="00A66252">
        <w:rPr>
          <w:lang w:val="fr-FR"/>
        </w:rPr>
        <w:t xml:space="preserve"> 2016</w:t>
      </w:r>
      <w:r w:rsidR="00F67322" w:rsidRPr="00A66252">
        <w:rPr>
          <w:lang w:val="fr-FR"/>
        </w:rPr>
        <w:t>,</w:t>
      </w:r>
    </w:p>
    <w:p w:rsidR="00E77CB3" w:rsidRPr="00A66252" w:rsidRDefault="00E77CB3" w:rsidP="00A66252">
      <w:pPr>
        <w:pStyle w:val="ECHRPara"/>
        <w:rPr>
          <w:lang w:val="fr-FR"/>
        </w:rPr>
      </w:pPr>
      <w:r w:rsidRPr="00A66252">
        <w:rPr>
          <w:lang w:val="fr-FR"/>
        </w:rPr>
        <w:t>Rend l</w:t>
      </w:r>
      <w:r w:rsidR="00A66252" w:rsidRPr="00A66252">
        <w:rPr>
          <w:lang w:val="fr-FR"/>
        </w:rPr>
        <w:t>’</w:t>
      </w:r>
      <w:r w:rsidRPr="00A66252">
        <w:rPr>
          <w:lang w:val="fr-FR"/>
        </w:rPr>
        <w:t xml:space="preserve">arrêt que voici, adopté à cette </w:t>
      </w:r>
      <w:r w:rsidR="00932DA2" w:rsidRPr="00A66252">
        <w:rPr>
          <w:lang w:val="fr-FR"/>
        </w:rPr>
        <w:t xml:space="preserve">dernière </w:t>
      </w:r>
      <w:r w:rsidRPr="00A66252">
        <w:rPr>
          <w:lang w:val="fr-FR"/>
        </w:rPr>
        <w:t>date :</w:t>
      </w:r>
    </w:p>
    <w:p w:rsidR="00E77CB3" w:rsidRPr="00A66252" w:rsidRDefault="00E77CB3" w:rsidP="00A66252">
      <w:pPr>
        <w:pStyle w:val="ECHRTitle1"/>
        <w:rPr>
          <w:lang w:val="fr-FR"/>
        </w:rPr>
      </w:pPr>
      <w:r w:rsidRPr="00A66252">
        <w:rPr>
          <w:lang w:val="fr-FR"/>
        </w:rPr>
        <w:t>PROCÉDURE</w:t>
      </w:r>
    </w:p>
    <w:bookmarkStart w:id="0" w:name="Famille"/>
    <w:p w:rsidR="00E77CB3" w:rsidRPr="00A66252" w:rsidRDefault="002A4CE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w:t>
      </w:r>
      <w:r w:rsidRPr="00A66252">
        <w:rPr>
          <w:lang w:val="fr-FR"/>
        </w:rPr>
        <w:fldChar w:fldCharType="end"/>
      </w:r>
      <w:r w:rsidR="00E77CB3" w:rsidRPr="00A66252">
        <w:rPr>
          <w:lang w:val="fr-FR"/>
        </w:rPr>
        <w:t>.</w:t>
      </w:r>
      <w:bookmarkEnd w:id="0"/>
      <w:r w:rsidR="00E77CB3" w:rsidRPr="00A66252">
        <w:rPr>
          <w:lang w:val="fr-FR"/>
        </w:rPr>
        <w:t>  À l</w:t>
      </w:r>
      <w:r w:rsidR="00A66252" w:rsidRPr="00A66252">
        <w:rPr>
          <w:lang w:val="fr-FR"/>
        </w:rPr>
        <w:t>’</w:t>
      </w:r>
      <w:r w:rsidR="00E77CB3" w:rsidRPr="00A66252">
        <w:rPr>
          <w:lang w:val="fr-FR"/>
        </w:rPr>
        <w:t>origine de l</w:t>
      </w:r>
      <w:r w:rsidR="00A66252" w:rsidRPr="00A66252">
        <w:rPr>
          <w:lang w:val="fr-FR"/>
        </w:rPr>
        <w:t>’</w:t>
      </w:r>
      <w:r w:rsidR="00E77CB3" w:rsidRPr="00A66252">
        <w:rPr>
          <w:lang w:val="fr-FR"/>
        </w:rPr>
        <w:t xml:space="preserve">affaire </w:t>
      </w:r>
      <w:r w:rsidRPr="00A66252">
        <w:rPr>
          <w:lang w:val="fr-FR"/>
        </w:rPr>
        <w:t>se trouve une requête (n</w:t>
      </w:r>
      <w:r w:rsidRPr="00A66252">
        <w:rPr>
          <w:vertAlign w:val="superscript"/>
          <w:lang w:val="fr-FR"/>
        </w:rPr>
        <w:t>o</w:t>
      </w:r>
      <w:r w:rsidRPr="00A66252">
        <w:rPr>
          <w:lang w:val="fr-FR"/>
        </w:rPr>
        <w:t xml:space="preserve"> 41738/10) dirigée</w:t>
      </w:r>
      <w:r w:rsidR="00E77CB3" w:rsidRPr="00A66252">
        <w:rPr>
          <w:lang w:val="fr-FR"/>
        </w:rPr>
        <w:t xml:space="preserve"> contre </w:t>
      </w:r>
      <w:r w:rsidRPr="00A66252">
        <w:rPr>
          <w:lang w:val="fr-FR"/>
        </w:rPr>
        <w:t>le Royaume de Belgique</w:t>
      </w:r>
      <w:r w:rsidR="00E77CB3" w:rsidRPr="00A66252">
        <w:rPr>
          <w:lang w:val="fr-FR"/>
        </w:rPr>
        <w:t xml:space="preserve"> et dont </w:t>
      </w:r>
      <w:r w:rsidRPr="00A66252">
        <w:rPr>
          <w:lang w:val="fr-FR"/>
        </w:rPr>
        <w:t xml:space="preserve">un ressortissant de </w:t>
      </w:r>
      <w:r w:rsidR="00D13DA4" w:rsidRPr="00A66252">
        <w:rPr>
          <w:lang w:val="fr-FR"/>
        </w:rPr>
        <w:t>l</w:t>
      </w:r>
      <w:r w:rsidR="00A66252" w:rsidRPr="00A66252">
        <w:rPr>
          <w:lang w:val="fr-FR"/>
        </w:rPr>
        <w:t>’</w:t>
      </w:r>
      <w:r w:rsidRPr="00A66252">
        <w:rPr>
          <w:lang w:val="fr-FR"/>
        </w:rPr>
        <w:t>État</w:t>
      </w:r>
      <w:r w:rsidR="00D13DA4" w:rsidRPr="00A66252">
        <w:rPr>
          <w:lang w:val="fr-FR"/>
        </w:rPr>
        <w:t xml:space="preserve"> </w:t>
      </w:r>
      <w:r w:rsidRPr="00A66252">
        <w:rPr>
          <w:lang w:val="fr-FR"/>
        </w:rPr>
        <w:t xml:space="preserve">géorgien, M. </w:t>
      </w:r>
      <w:proofErr w:type="spellStart"/>
      <w:r w:rsidRPr="00A66252">
        <w:rPr>
          <w:lang w:val="fr-FR"/>
        </w:rPr>
        <w:t>Georgie</w:t>
      </w:r>
      <w:proofErr w:type="spellEnd"/>
      <w:r w:rsidRPr="00A66252">
        <w:rPr>
          <w:lang w:val="fr-FR"/>
        </w:rPr>
        <w:t xml:space="preserve"> </w:t>
      </w:r>
      <w:proofErr w:type="spellStart"/>
      <w:r w:rsidRPr="00A66252">
        <w:rPr>
          <w:lang w:val="fr-FR"/>
        </w:rPr>
        <w:t>Paposhvili</w:t>
      </w:r>
      <w:proofErr w:type="spellEnd"/>
      <w:r w:rsidRPr="00A66252">
        <w:rPr>
          <w:lang w:val="fr-FR"/>
        </w:rPr>
        <w:t xml:space="preserve"> (« le requérant »), a saisi la Cour le 23 juillet 2010</w:t>
      </w:r>
      <w:r w:rsidR="00E77CB3" w:rsidRPr="00A66252">
        <w:rPr>
          <w:lang w:val="fr-FR"/>
        </w:rPr>
        <w:t xml:space="preserve"> en vertu de </w:t>
      </w:r>
      <w:r w:rsidRPr="00A66252">
        <w:rPr>
          <w:lang w:val="fr-FR"/>
        </w:rPr>
        <w:t>l</w:t>
      </w:r>
      <w:r w:rsidR="00A66252" w:rsidRPr="00A66252">
        <w:rPr>
          <w:lang w:val="fr-FR"/>
        </w:rPr>
        <w:t>’</w:t>
      </w:r>
      <w:r w:rsidRPr="00A66252">
        <w:rPr>
          <w:lang w:val="fr-FR"/>
        </w:rPr>
        <w:t>article 34</w:t>
      </w:r>
      <w:r w:rsidR="00E77CB3" w:rsidRPr="00A66252">
        <w:rPr>
          <w:lang w:val="fr-FR"/>
        </w:rPr>
        <w:t xml:space="preserve"> de la Convention de sauvegarde des droits de l</w:t>
      </w:r>
      <w:r w:rsidR="00A66252" w:rsidRPr="00A66252">
        <w:rPr>
          <w:lang w:val="fr-FR"/>
        </w:rPr>
        <w:t>’</w:t>
      </w:r>
      <w:r w:rsidR="00E77CB3" w:rsidRPr="00A66252">
        <w:rPr>
          <w:lang w:val="fr-FR"/>
        </w:rPr>
        <w:t>homme et des libertés fondamentales (« la Convention »).</w:t>
      </w:r>
      <w:r w:rsidR="00325E4C" w:rsidRPr="00A66252">
        <w:rPr>
          <w:lang w:val="fr-FR"/>
        </w:rPr>
        <w:t xml:space="preserve"> Le requérant est décédé le 7 juin 2016. Le 20 juin 2016, </w:t>
      </w:r>
      <w:r w:rsidR="005F6576" w:rsidRPr="00A66252">
        <w:rPr>
          <w:lang w:val="fr-FR"/>
        </w:rPr>
        <w:t xml:space="preserve">la famille du requérant, à savoir, </w:t>
      </w:r>
      <w:r w:rsidR="00325E4C" w:rsidRPr="00A66252">
        <w:rPr>
          <w:lang w:val="fr-FR"/>
        </w:rPr>
        <w:t>son épouse, M</w:t>
      </w:r>
      <w:r w:rsidR="00325E4C" w:rsidRPr="00A66252">
        <w:rPr>
          <w:vertAlign w:val="superscript"/>
          <w:lang w:val="fr-FR"/>
        </w:rPr>
        <w:t xml:space="preserve">me </w:t>
      </w:r>
      <w:r w:rsidR="00325E4C" w:rsidRPr="00A66252">
        <w:rPr>
          <w:lang w:val="fr-FR"/>
        </w:rPr>
        <w:t xml:space="preserve">Nino </w:t>
      </w:r>
      <w:proofErr w:type="spellStart"/>
      <w:r w:rsidR="00325E4C" w:rsidRPr="00A66252">
        <w:rPr>
          <w:lang w:val="fr-FR"/>
        </w:rPr>
        <w:t>Kraveishvili</w:t>
      </w:r>
      <w:proofErr w:type="spellEnd"/>
      <w:r w:rsidR="00325E4C" w:rsidRPr="00A66252">
        <w:rPr>
          <w:lang w:val="fr-FR"/>
        </w:rPr>
        <w:t xml:space="preserve">, et leurs trois enfants, </w:t>
      </w:r>
      <w:r w:rsidR="00111992" w:rsidRPr="00A66252">
        <w:rPr>
          <w:lang w:val="fr-FR"/>
        </w:rPr>
        <w:t>M</w:t>
      </w:r>
      <w:r w:rsidR="00111992" w:rsidRPr="00A66252">
        <w:rPr>
          <w:vertAlign w:val="superscript"/>
          <w:lang w:val="fr-FR"/>
        </w:rPr>
        <w:t>lles</w:t>
      </w:r>
      <w:r w:rsidR="00144DC5" w:rsidRPr="00A66252">
        <w:rPr>
          <w:lang w:val="fr-FR"/>
        </w:rPr>
        <w:t> </w:t>
      </w:r>
      <w:proofErr w:type="spellStart"/>
      <w:r w:rsidR="00144DC5" w:rsidRPr="00A66252">
        <w:rPr>
          <w:lang w:val="fr-FR"/>
        </w:rPr>
        <w:t>Ziala</w:t>
      </w:r>
      <w:proofErr w:type="spellEnd"/>
      <w:r w:rsidR="00144DC5" w:rsidRPr="00A66252">
        <w:rPr>
          <w:lang w:val="fr-FR"/>
        </w:rPr>
        <w:t> </w:t>
      </w:r>
      <w:proofErr w:type="spellStart"/>
      <w:r w:rsidR="00111992" w:rsidRPr="00A66252">
        <w:rPr>
          <w:lang w:val="fr-FR"/>
        </w:rPr>
        <w:t>Kraveishvili</w:t>
      </w:r>
      <w:proofErr w:type="spellEnd"/>
      <w:r w:rsidR="00111992" w:rsidRPr="00A66252">
        <w:rPr>
          <w:lang w:val="fr-FR"/>
        </w:rPr>
        <w:t xml:space="preserve"> et Sophie </w:t>
      </w:r>
      <w:proofErr w:type="spellStart"/>
      <w:r w:rsidR="00111992" w:rsidRPr="00A66252">
        <w:rPr>
          <w:lang w:val="fr-FR"/>
        </w:rPr>
        <w:t>Paposhvili</w:t>
      </w:r>
      <w:proofErr w:type="spellEnd"/>
      <w:r w:rsidR="00111992" w:rsidRPr="00A66252">
        <w:rPr>
          <w:lang w:val="fr-FR"/>
        </w:rPr>
        <w:t xml:space="preserve"> ainsi que </w:t>
      </w:r>
      <w:r w:rsidR="005F6576" w:rsidRPr="00A66252">
        <w:rPr>
          <w:lang w:val="fr-FR"/>
        </w:rPr>
        <w:t xml:space="preserve">M. </w:t>
      </w:r>
      <w:r w:rsidR="00111992" w:rsidRPr="00A66252">
        <w:rPr>
          <w:lang w:val="fr-FR"/>
        </w:rPr>
        <w:t xml:space="preserve">Giorgi </w:t>
      </w:r>
      <w:proofErr w:type="spellStart"/>
      <w:r w:rsidR="00111992" w:rsidRPr="00A66252">
        <w:rPr>
          <w:lang w:val="fr-FR"/>
        </w:rPr>
        <w:t>Paposhvili</w:t>
      </w:r>
      <w:proofErr w:type="spellEnd"/>
      <w:r w:rsidR="00325E4C" w:rsidRPr="00A66252">
        <w:rPr>
          <w:lang w:val="fr-FR"/>
        </w:rPr>
        <w:t xml:space="preserve">, </w:t>
      </w:r>
      <w:r w:rsidR="005F6576" w:rsidRPr="00A66252">
        <w:rPr>
          <w:lang w:val="fr-FR"/>
        </w:rPr>
        <w:t>a</w:t>
      </w:r>
      <w:r w:rsidR="00325E4C" w:rsidRPr="00A66252">
        <w:rPr>
          <w:lang w:val="fr-FR"/>
        </w:rPr>
        <w:t xml:space="preserve"> exprimé le souhait de poursuivre l</w:t>
      </w:r>
      <w:r w:rsidR="00A66252" w:rsidRPr="00A66252">
        <w:rPr>
          <w:lang w:val="fr-FR"/>
        </w:rPr>
        <w:t>’</w:t>
      </w:r>
      <w:r w:rsidR="00325E4C" w:rsidRPr="00A66252">
        <w:rPr>
          <w:lang w:val="fr-FR"/>
        </w:rPr>
        <w:t>instance devant la Cour.</w:t>
      </w:r>
    </w:p>
    <w:p w:rsidR="00A66252" w:rsidRPr="00A66252" w:rsidRDefault="002A4CE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w:t>
      </w:r>
      <w:r w:rsidRPr="00A66252">
        <w:rPr>
          <w:lang w:val="fr-FR"/>
        </w:rPr>
        <w:fldChar w:fldCharType="end"/>
      </w:r>
      <w:r w:rsidR="00E77CB3" w:rsidRPr="00A66252">
        <w:rPr>
          <w:lang w:val="fr-FR"/>
        </w:rPr>
        <w:t>.  </w:t>
      </w:r>
      <w:r w:rsidRPr="00A66252">
        <w:rPr>
          <w:lang w:val="fr-FR"/>
        </w:rPr>
        <w:t>Le requérant, qui a</w:t>
      </w:r>
      <w:r w:rsidR="00001646" w:rsidRPr="00A66252">
        <w:rPr>
          <w:lang w:val="fr-FR"/>
        </w:rPr>
        <w:t>vait</w:t>
      </w:r>
      <w:r w:rsidRPr="00A66252">
        <w:rPr>
          <w:lang w:val="fr-FR"/>
        </w:rPr>
        <w:t xml:space="preserve"> été admis au bénéfice de l</w:t>
      </w:r>
      <w:r w:rsidR="00A66252" w:rsidRPr="00A66252">
        <w:rPr>
          <w:lang w:val="fr-FR"/>
        </w:rPr>
        <w:t>’</w:t>
      </w:r>
      <w:r w:rsidRPr="00A66252">
        <w:rPr>
          <w:lang w:val="fr-FR"/>
        </w:rPr>
        <w:t>assistance judiciaire, a été représenté par M</w:t>
      </w:r>
      <w:r w:rsidRPr="00A66252">
        <w:rPr>
          <w:vertAlign w:val="superscript"/>
          <w:lang w:val="fr-FR"/>
        </w:rPr>
        <w:t>es</w:t>
      </w:r>
      <w:r w:rsidRPr="00A66252">
        <w:rPr>
          <w:lang w:val="fr-FR"/>
        </w:rPr>
        <w:t> </w:t>
      </w:r>
      <w:r w:rsidR="00D22657" w:rsidRPr="00A66252">
        <w:rPr>
          <w:lang w:val="fr-FR"/>
        </w:rPr>
        <w:t xml:space="preserve">J. </w:t>
      </w:r>
      <w:proofErr w:type="spellStart"/>
      <w:r w:rsidR="00D22657" w:rsidRPr="00A66252">
        <w:rPr>
          <w:lang w:val="fr-FR"/>
        </w:rPr>
        <w:t>Kern</w:t>
      </w:r>
      <w:proofErr w:type="spellEnd"/>
      <w:r w:rsidR="00D22657" w:rsidRPr="00A66252">
        <w:rPr>
          <w:lang w:val="fr-FR"/>
        </w:rPr>
        <w:t xml:space="preserve">, avocate à </w:t>
      </w:r>
      <w:r w:rsidR="00322A0C" w:rsidRPr="00A66252">
        <w:rPr>
          <w:lang w:val="fr-FR"/>
        </w:rPr>
        <w:t>Anvers</w:t>
      </w:r>
      <w:r w:rsidR="00D22657" w:rsidRPr="00A66252">
        <w:rPr>
          <w:lang w:val="fr-FR"/>
        </w:rPr>
        <w:t xml:space="preserve">, et </w:t>
      </w:r>
      <w:r w:rsidR="003524BE" w:rsidRPr="00A66252">
        <w:rPr>
          <w:lang w:val="fr-FR"/>
        </w:rPr>
        <w:t>C. </w:t>
      </w:r>
      <w:proofErr w:type="spellStart"/>
      <w:r w:rsidRPr="00A66252">
        <w:rPr>
          <w:lang w:val="fr-FR"/>
        </w:rPr>
        <w:t>Verbrouck</w:t>
      </w:r>
      <w:proofErr w:type="spellEnd"/>
      <w:r w:rsidRPr="00A66252">
        <w:rPr>
          <w:lang w:val="fr-FR"/>
        </w:rPr>
        <w:t>, avocat</w:t>
      </w:r>
      <w:r w:rsidR="00D22657" w:rsidRPr="00A66252">
        <w:rPr>
          <w:lang w:val="fr-FR"/>
        </w:rPr>
        <w:t>e</w:t>
      </w:r>
      <w:r w:rsidRPr="00A66252">
        <w:rPr>
          <w:lang w:val="fr-FR"/>
        </w:rPr>
        <w:t xml:space="preserve"> à</w:t>
      </w:r>
      <w:r w:rsidR="00D22657" w:rsidRPr="00A66252">
        <w:rPr>
          <w:lang w:val="fr-FR"/>
        </w:rPr>
        <w:t xml:space="preserve"> </w:t>
      </w:r>
      <w:r w:rsidRPr="00A66252">
        <w:rPr>
          <w:lang w:val="fr-FR"/>
        </w:rPr>
        <w:t xml:space="preserve">Bruxelles. </w:t>
      </w:r>
      <w:r w:rsidR="00E77CB3" w:rsidRPr="00A66252">
        <w:rPr>
          <w:lang w:val="fr-FR"/>
        </w:rPr>
        <w:t xml:space="preserve">Le gouvernement </w:t>
      </w:r>
      <w:r w:rsidRPr="00A66252">
        <w:rPr>
          <w:lang w:val="fr-FR"/>
        </w:rPr>
        <w:t>belge</w:t>
      </w:r>
      <w:r w:rsidR="00E77CB3" w:rsidRPr="00A66252">
        <w:rPr>
          <w:lang w:val="fr-FR"/>
        </w:rPr>
        <w:t xml:space="preserve"> (« le Gouvernement ») </w:t>
      </w:r>
      <w:r w:rsidR="00322A0C" w:rsidRPr="00A66252">
        <w:rPr>
          <w:lang w:val="fr-FR"/>
        </w:rPr>
        <w:t>est représenté par son agent, M. M</w:t>
      </w:r>
      <w:r w:rsidR="00932DA2" w:rsidRPr="00A66252">
        <w:rPr>
          <w:lang w:val="fr-FR"/>
        </w:rPr>
        <w:t>.</w:t>
      </w:r>
      <w:r w:rsidR="00322A0C" w:rsidRPr="00A66252">
        <w:rPr>
          <w:lang w:val="fr-FR"/>
        </w:rPr>
        <w:t xml:space="preserve"> </w:t>
      </w:r>
      <w:proofErr w:type="spellStart"/>
      <w:r w:rsidR="00322A0C" w:rsidRPr="00A66252">
        <w:rPr>
          <w:lang w:val="fr-FR"/>
        </w:rPr>
        <w:t>Tysebaert</w:t>
      </w:r>
      <w:proofErr w:type="spellEnd"/>
      <w:r w:rsidR="00322A0C" w:rsidRPr="00A66252">
        <w:rPr>
          <w:lang w:val="fr-FR"/>
        </w:rPr>
        <w:t>, conseiller général, service public fédéral de la Justice.</w:t>
      </w:r>
    </w:p>
    <w:p w:rsidR="00A66252" w:rsidRPr="00A66252" w:rsidRDefault="001820BD"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w:t>
      </w:r>
      <w:r w:rsidRPr="00A66252">
        <w:rPr>
          <w:lang w:val="fr-FR"/>
        </w:rPr>
        <w:fldChar w:fldCharType="end"/>
      </w:r>
      <w:r w:rsidRPr="00A66252">
        <w:rPr>
          <w:lang w:val="fr-FR"/>
        </w:rPr>
        <w:t>.  Le 23 juillet 2010, le requérant saisit la Cour d</w:t>
      </w:r>
      <w:r w:rsidR="00A66252" w:rsidRPr="00A66252">
        <w:rPr>
          <w:lang w:val="fr-FR"/>
        </w:rPr>
        <w:t>’</w:t>
      </w:r>
      <w:r w:rsidRPr="00A66252">
        <w:rPr>
          <w:lang w:val="fr-FR"/>
        </w:rPr>
        <w:t>une demande de mesures provisoires en application de l</w:t>
      </w:r>
      <w:r w:rsidR="00A66252" w:rsidRPr="00A66252">
        <w:rPr>
          <w:lang w:val="fr-FR"/>
        </w:rPr>
        <w:t>’</w:t>
      </w:r>
      <w:r w:rsidRPr="00A66252">
        <w:rPr>
          <w:lang w:val="fr-FR"/>
        </w:rPr>
        <w:t>article 39 du règlement de la Cour en vue de suspendre l</w:t>
      </w:r>
      <w:r w:rsidR="00A66252" w:rsidRPr="00A66252">
        <w:rPr>
          <w:lang w:val="fr-FR"/>
        </w:rPr>
        <w:t>’</w:t>
      </w:r>
      <w:r w:rsidRPr="00A66252">
        <w:rPr>
          <w:lang w:val="fr-FR"/>
        </w:rPr>
        <w:t xml:space="preserve">ordre de quitter le territoire. Alléguant que son renvoi vers la Géorgie </w:t>
      </w:r>
      <w:r w:rsidR="0004282E" w:rsidRPr="00A66252">
        <w:rPr>
          <w:lang w:val="fr-FR"/>
        </w:rPr>
        <w:t>l</w:t>
      </w:r>
      <w:r w:rsidR="00A66252" w:rsidRPr="00A66252">
        <w:rPr>
          <w:lang w:val="fr-FR"/>
        </w:rPr>
        <w:t>’</w:t>
      </w:r>
      <w:r w:rsidR="0004282E" w:rsidRPr="00A66252">
        <w:rPr>
          <w:lang w:val="fr-FR"/>
        </w:rPr>
        <w:t xml:space="preserve">aurait exposé </w:t>
      </w:r>
      <w:r w:rsidRPr="00A66252">
        <w:rPr>
          <w:lang w:val="fr-FR"/>
        </w:rPr>
        <w:t xml:space="preserve">à des risques pour sa vie et son intégrité physique et </w:t>
      </w:r>
      <w:r w:rsidR="0004282E" w:rsidRPr="00A66252">
        <w:rPr>
          <w:lang w:val="fr-FR"/>
        </w:rPr>
        <w:t xml:space="preserve">aurait porté </w:t>
      </w:r>
      <w:r w:rsidRPr="00A66252">
        <w:rPr>
          <w:lang w:val="fr-FR"/>
        </w:rPr>
        <w:t xml:space="preserve">atteinte au droit au respect de sa vie familiale, le requérant se </w:t>
      </w:r>
      <w:r w:rsidR="0004282E" w:rsidRPr="00A66252">
        <w:rPr>
          <w:lang w:val="fr-FR"/>
        </w:rPr>
        <w:t xml:space="preserve">disait </w:t>
      </w:r>
      <w:r w:rsidRPr="00A66252">
        <w:rPr>
          <w:lang w:val="fr-FR"/>
        </w:rPr>
        <w:t>victime d</w:t>
      </w:r>
      <w:r w:rsidR="00A66252" w:rsidRPr="00A66252">
        <w:rPr>
          <w:lang w:val="fr-FR"/>
        </w:rPr>
        <w:t>’</w:t>
      </w:r>
      <w:r w:rsidRPr="00A66252">
        <w:rPr>
          <w:lang w:val="fr-FR"/>
        </w:rPr>
        <w:t xml:space="preserve">une violation potentielle des articles 2, 3 et 8 de la Convention. </w:t>
      </w:r>
      <w:r w:rsidR="00003D2C" w:rsidRPr="00A66252">
        <w:rPr>
          <w:lang w:val="fr-FR"/>
        </w:rPr>
        <w:t xml:space="preserve">Sachant </w:t>
      </w:r>
      <w:r w:rsidRPr="00A66252">
        <w:rPr>
          <w:lang w:val="fr-FR"/>
        </w:rPr>
        <w:t>que les procédures internes n</w:t>
      </w:r>
      <w:r w:rsidR="00A66252" w:rsidRPr="00A66252">
        <w:rPr>
          <w:lang w:val="fr-FR"/>
        </w:rPr>
        <w:t>’</w:t>
      </w:r>
      <w:r w:rsidRPr="00A66252">
        <w:rPr>
          <w:lang w:val="fr-FR"/>
        </w:rPr>
        <w:t xml:space="preserve">étaient pas achevées </w:t>
      </w:r>
      <w:r w:rsidR="00003D2C" w:rsidRPr="00A66252">
        <w:rPr>
          <w:lang w:val="fr-FR"/>
        </w:rPr>
        <w:t>au moment de l</w:t>
      </w:r>
      <w:r w:rsidR="00A66252" w:rsidRPr="00A66252">
        <w:rPr>
          <w:lang w:val="fr-FR"/>
        </w:rPr>
        <w:t>’</w:t>
      </w:r>
      <w:r w:rsidR="00003D2C" w:rsidRPr="00A66252">
        <w:rPr>
          <w:lang w:val="fr-FR"/>
        </w:rPr>
        <w:t xml:space="preserve">introduction de la requête, il fit toutefois </w:t>
      </w:r>
      <w:r w:rsidRPr="00A66252">
        <w:rPr>
          <w:lang w:val="fr-FR"/>
        </w:rPr>
        <w:t>valoir que ces recours n</w:t>
      </w:r>
      <w:r w:rsidR="00A66252" w:rsidRPr="00A66252">
        <w:rPr>
          <w:lang w:val="fr-FR"/>
        </w:rPr>
        <w:t>’</w:t>
      </w:r>
      <w:r w:rsidRPr="00A66252">
        <w:rPr>
          <w:lang w:val="fr-FR"/>
        </w:rPr>
        <w:t>étaient pas</w:t>
      </w:r>
      <w:r w:rsidR="00144DC5" w:rsidRPr="00A66252">
        <w:rPr>
          <w:lang w:val="fr-FR"/>
        </w:rPr>
        <w:t xml:space="preserve"> suspensifs de son éloignement. </w:t>
      </w:r>
      <w:r w:rsidRPr="00A66252">
        <w:rPr>
          <w:lang w:val="fr-FR"/>
        </w:rPr>
        <w:t>Le 28 juillet 2010, en application de l</w:t>
      </w:r>
      <w:r w:rsidR="00A66252" w:rsidRPr="00A66252">
        <w:rPr>
          <w:lang w:val="fr-FR"/>
        </w:rPr>
        <w:t>’</w:t>
      </w:r>
      <w:r w:rsidRPr="00A66252">
        <w:rPr>
          <w:lang w:val="fr-FR"/>
        </w:rPr>
        <w:t xml:space="preserve">article 39 du règlement, la Cour </w:t>
      </w:r>
      <w:r w:rsidR="0004282E" w:rsidRPr="00A66252">
        <w:rPr>
          <w:lang w:val="fr-FR"/>
        </w:rPr>
        <w:t>invita</w:t>
      </w:r>
      <w:r w:rsidRPr="00A66252">
        <w:rPr>
          <w:lang w:val="fr-FR"/>
        </w:rPr>
        <w:t xml:space="preserve"> le Gouvernement</w:t>
      </w:r>
      <w:r w:rsidR="00144DC5" w:rsidRPr="00A66252">
        <w:rPr>
          <w:lang w:val="fr-FR"/>
        </w:rPr>
        <w:t xml:space="preserve"> </w:t>
      </w:r>
      <w:r w:rsidRPr="00A66252">
        <w:rPr>
          <w:lang w:val="fr-FR"/>
        </w:rPr>
        <w:t>à ne pas procéder à l</w:t>
      </w:r>
      <w:r w:rsidR="00A66252" w:rsidRPr="00A66252">
        <w:rPr>
          <w:lang w:val="fr-FR"/>
        </w:rPr>
        <w:t>’</w:t>
      </w:r>
      <w:r w:rsidRPr="00A66252">
        <w:rPr>
          <w:lang w:val="fr-FR"/>
        </w:rPr>
        <w:t>éloignement du requérant jusqu</w:t>
      </w:r>
      <w:r w:rsidR="00A66252" w:rsidRPr="00A66252">
        <w:rPr>
          <w:lang w:val="fr-FR"/>
        </w:rPr>
        <w:t>’</w:t>
      </w:r>
      <w:r w:rsidRPr="00A66252">
        <w:rPr>
          <w:lang w:val="fr-FR"/>
        </w:rPr>
        <w:t>à</w:t>
      </w:r>
      <w:r w:rsidR="00144DC5" w:rsidRPr="00A66252">
        <w:rPr>
          <w:lang w:val="fr-FR"/>
        </w:rPr>
        <w:t xml:space="preserve"> </w:t>
      </w:r>
      <w:r w:rsidRPr="00A66252">
        <w:rPr>
          <w:lang w:val="fr-FR"/>
        </w:rPr>
        <w:t>l</w:t>
      </w:r>
      <w:r w:rsidR="00A66252" w:rsidRPr="00A66252">
        <w:rPr>
          <w:lang w:val="fr-FR"/>
        </w:rPr>
        <w:t>’</w:t>
      </w:r>
      <w:r w:rsidRPr="00A66252">
        <w:rPr>
          <w:lang w:val="fr-FR"/>
        </w:rPr>
        <w:t xml:space="preserve">issue de la procédure devant </w:t>
      </w:r>
      <w:r w:rsidR="0098741E" w:rsidRPr="00A66252">
        <w:rPr>
          <w:lang w:val="fr-FR"/>
        </w:rPr>
        <w:t>le Conseil du contentieux des étrangers</w:t>
      </w:r>
      <w:r w:rsidRPr="00A66252">
        <w:rPr>
          <w:lang w:val="fr-FR"/>
        </w:rPr>
        <w:t>.</w:t>
      </w:r>
    </w:p>
    <w:p w:rsidR="00322A0C" w:rsidRPr="00A66252" w:rsidRDefault="001820BD"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w:t>
      </w:r>
      <w:r w:rsidRPr="00A66252">
        <w:rPr>
          <w:lang w:val="fr-FR"/>
        </w:rPr>
        <w:fldChar w:fldCharType="end"/>
      </w:r>
      <w:r w:rsidRPr="00A66252">
        <w:rPr>
          <w:lang w:val="fr-FR"/>
        </w:rPr>
        <w:t>.  </w:t>
      </w:r>
      <w:r w:rsidR="00322A0C" w:rsidRPr="00A66252">
        <w:rPr>
          <w:lang w:val="fr-FR"/>
        </w:rPr>
        <w:t>La requête a été attribuée à la cinquième section de la Cour (article</w:t>
      </w:r>
      <w:r w:rsidR="00B32D6C" w:rsidRPr="00A66252">
        <w:rPr>
          <w:lang w:val="fr-FR"/>
        </w:rPr>
        <w:t> </w:t>
      </w:r>
      <w:r w:rsidR="00322A0C" w:rsidRPr="00A66252">
        <w:rPr>
          <w:lang w:val="fr-FR"/>
        </w:rPr>
        <w:t>52</w:t>
      </w:r>
      <w:r w:rsidR="00144DC5" w:rsidRPr="00A66252">
        <w:rPr>
          <w:lang w:val="fr-FR"/>
        </w:rPr>
        <w:t xml:space="preserve"> </w:t>
      </w:r>
      <w:r w:rsidR="00322A0C" w:rsidRPr="00A66252">
        <w:rPr>
          <w:lang w:val="fr-FR"/>
        </w:rPr>
        <w:t>§</w:t>
      </w:r>
      <w:r w:rsidR="00144DC5" w:rsidRPr="00A66252">
        <w:rPr>
          <w:lang w:val="fr-FR"/>
        </w:rPr>
        <w:t> </w:t>
      </w:r>
      <w:r w:rsidR="00322A0C" w:rsidRPr="00A66252">
        <w:rPr>
          <w:lang w:val="fr-FR"/>
        </w:rPr>
        <w:t xml:space="preserve">1 du règlement). </w:t>
      </w:r>
      <w:r w:rsidR="00D431FC" w:rsidRPr="00A66252">
        <w:rPr>
          <w:lang w:val="fr-FR"/>
        </w:rPr>
        <w:t>Une chambre de l</w:t>
      </w:r>
      <w:r w:rsidR="00144DC5" w:rsidRPr="00A66252">
        <w:rPr>
          <w:lang w:val="fr-FR"/>
        </w:rPr>
        <w:t>adite section, composée de Mark </w:t>
      </w:r>
      <w:proofErr w:type="spellStart"/>
      <w:r w:rsidR="00D431FC" w:rsidRPr="00A66252">
        <w:rPr>
          <w:lang w:val="fr-FR"/>
        </w:rPr>
        <w:t>Villiger</w:t>
      </w:r>
      <w:proofErr w:type="spellEnd"/>
      <w:r w:rsidR="00D431FC" w:rsidRPr="00A66252">
        <w:rPr>
          <w:lang w:val="fr-FR"/>
        </w:rPr>
        <w:t xml:space="preserve">, Président, </w:t>
      </w:r>
      <w:proofErr w:type="spellStart"/>
      <w:r w:rsidR="00D431FC" w:rsidRPr="00A66252">
        <w:rPr>
          <w:lang w:val="fr-FR"/>
        </w:rPr>
        <w:t>Angelika</w:t>
      </w:r>
      <w:proofErr w:type="spellEnd"/>
      <w:r w:rsidR="00D431FC" w:rsidRPr="00A66252">
        <w:rPr>
          <w:lang w:val="fr-FR"/>
        </w:rPr>
        <w:t xml:space="preserve"> </w:t>
      </w:r>
      <w:proofErr w:type="spellStart"/>
      <w:r w:rsidR="00D431FC" w:rsidRPr="00A66252">
        <w:rPr>
          <w:lang w:val="fr-FR"/>
        </w:rPr>
        <w:t>Nußb</w:t>
      </w:r>
      <w:r w:rsidR="00B32D6C" w:rsidRPr="00A66252">
        <w:rPr>
          <w:lang w:val="fr-FR"/>
        </w:rPr>
        <w:t>erger</w:t>
      </w:r>
      <w:proofErr w:type="spellEnd"/>
      <w:r w:rsidR="00B32D6C" w:rsidRPr="00A66252">
        <w:rPr>
          <w:lang w:val="fr-FR"/>
        </w:rPr>
        <w:t xml:space="preserve">, </w:t>
      </w:r>
      <w:proofErr w:type="spellStart"/>
      <w:r w:rsidR="00B32D6C" w:rsidRPr="00A66252">
        <w:rPr>
          <w:lang w:val="fr-FR"/>
        </w:rPr>
        <w:t>Boštjan</w:t>
      </w:r>
      <w:proofErr w:type="spellEnd"/>
      <w:r w:rsidR="00B32D6C" w:rsidRPr="00A66252">
        <w:rPr>
          <w:lang w:val="fr-FR"/>
        </w:rPr>
        <w:t xml:space="preserve"> M. </w:t>
      </w:r>
      <w:proofErr w:type="spellStart"/>
      <w:r w:rsidR="00B32D6C" w:rsidRPr="00A66252">
        <w:rPr>
          <w:lang w:val="fr-FR"/>
        </w:rPr>
        <w:t>Zupančič</w:t>
      </w:r>
      <w:proofErr w:type="spellEnd"/>
      <w:r w:rsidR="00B32D6C" w:rsidRPr="00A66252">
        <w:rPr>
          <w:lang w:val="fr-FR"/>
        </w:rPr>
        <w:t>, Ann </w:t>
      </w:r>
      <w:r w:rsidR="00D431FC" w:rsidRPr="00A66252">
        <w:rPr>
          <w:lang w:val="fr-FR"/>
        </w:rPr>
        <w:t>Power-</w:t>
      </w:r>
      <w:proofErr w:type="spellStart"/>
      <w:r w:rsidR="00D431FC" w:rsidRPr="00A66252">
        <w:rPr>
          <w:lang w:val="fr-FR"/>
        </w:rPr>
        <w:t>Forde</w:t>
      </w:r>
      <w:proofErr w:type="spellEnd"/>
      <w:r w:rsidR="00D431FC" w:rsidRPr="00A66252">
        <w:rPr>
          <w:lang w:val="fr-FR"/>
        </w:rPr>
        <w:t xml:space="preserve">, </w:t>
      </w:r>
      <w:proofErr w:type="spellStart"/>
      <w:r w:rsidR="007E5FC0" w:rsidRPr="00A66252">
        <w:rPr>
          <w:lang w:val="fr-FR"/>
        </w:rPr>
        <w:t>Ganna</w:t>
      </w:r>
      <w:proofErr w:type="spellEnd"/>
      <w:r w:rsidR="007E5FC0" w:rsidRPr="00A66252">
        <w:rPr>
          <w:lang w:val="fr-FR"/>
        </w:rPr>
        <w:t xml:space="preserve"> </w:t>
      </w:r>
      <w:proofErr w:type="spellStart"/>
      <w:r w:rsidR="007E5FC0" w:rsidRPr="00A66252">
        <w:rPr>
          <w:lang w:val="fr-FR"/>
        </w:rPr>
        <w:t>Yudkivska</w:t>
      </w:r>
      <w:proofErr w:type="spellEnd"/>
      <w:r w:rsidR="007E5FC0" w:rsidRPr="00A66252">
        <w:rPr>
          <w:lang w:val="fr-FR"/>
        </w:rPr>
        <w:t xml:space="preserve">, Paul Lemmens, </w:t>
      </w:r>
      <w:r w:rsidR="00D431FC" w:rsidRPr="00A66252">
        <w:rPr>
          <w:lang w:val="fr-FR"/>
        </w:rPr>
        <w:t xml:space="preserve">et </w:t>
      </w:r>
      <w:proofErr w:type="spellStart"/>
      <w:r w:rsidR="00D431FC" w:rsidRPr="00A66252">
        <w:rPr>
          <w:lang w:val="fr-FR"/>
        </w:rPr>
        <w:t>Aleš</w:t>
      </w:r>
      <w:proofErr w:type="spellEnd"/>
      <w:r w:rsidR="00D431FC" w:rsidRPr="00A66252">
        <w:rPr>
          <w:lang w:val="fr-FR"/>
        </w:rPr>
        <w:t xml:space="preserve"> </w:t>
      </w:r>
      <w:proofErr w:type="spellStart"/>
      <w:r w:rsidR="00D431FC" w:rsidRPr="00A66252">
        <w:rPr>
          <w:lang w:val="fr-FR"/>
        </w:rPr>
        <w:t>Pejchal</w:t>
      </w:r>
      <w:proofErr w:type="spellEnd"/>
      <w:r w:rsidR="00D431FC" w:rsidRPr="00A66252">
        <w:rPr>
          <w:lang w:val="fr-FR"/>
        </w:rPr>
        <w:t xml:space="preserve">, juges, ainsi que de Claudia </w:t>
      </w:r>
      <w:proofErr w:type="spellStart"/>
      <w:r w:rsidR="00D431FC" w:rsidRPr="00A66252">
        <w:rPr>
          <w:lang w:val="fr-FR"/>
        </w:rPr>
        <w:t>Westerdiek</w:t>
      </w:r>
      <w:proofErr w:type="spellEnd"/>
      <w:r w:rsidR="00D431FC" w:rsidRPr="00A66252">
        <w:rPr>
          <w:lang w:val="fr-FR"/>
        </w:rPr>
        <w:t xml:space="preserve">, greffière de section, rendit un arrêt le 17 avril 2014. </w:t>
      </w:r>
      <w:r w:rsidR="007E5FC0" w:rsidRPr="00A66252">
        <w:rPr>
          <w:lang w:val="fr-FR"/>
        </w:rPr>
        <w:t xml:space="preserve">À </w:t>
      </w:r>
      <w:r w:rsidR="00D431FC" w:rsidRPr="00A66252">
        <w:rPr>
          <w:lang w:val="fr-FR"/>
        </w:rPr>
        <w:t>l</w:t>
      </w:r>
      <w:r w:rsidR="00A66252" w:rsidRPr="00A66252">
        <w:rPr>
          <w:lang w:val="fr-FR"/>
        </w:rPr>
        <w:t>’</w:t>
      </w:r>
      <w:r w:rsidR="00D431FC" w:rsidRPr="00A66252">
        <w:rPr>
          <w:lang w:val="fr-FR"/>
        </w:rPr>
        <w:t xml:space="preserve">unanimité, </w:t>
      </w:r>
      <w:r w:rsidR="00D13DA4" w:rsidRPr="00A66252">
        <w:rPr>
          <w:lang w:val="fr-FR"/>
        </w:rPr>
        <w:t>la chambre</w:t>
      </w:r>
      <w:r w:rsidR="00322A0C" w:rsidRPr="00A66252">
        <w:rPr>
          <w:lang w:val="fr-FR"/>
        </w:rPr>
        <w:t xml:space="preserve"> </w:t>
      </w:r>
      <w:r w:rsidR="00D431FC" w:rsidRPr="00A66252">
        <w:rPr>
          <w:lang w:val="fr-FR"/>
        </w:rPr>
        <w:t>déclar</w:t>
      </w:r>
      <w:r w:rsidR="00003D2C" w:rsidRPr="00A66252">
        <w:rPr>
          <w:lang w:val="fr-FR"/>
        </w:rPr>
        <w:t>a</w:t>
      </w:r>
      <w:r w:rsidR="00D431FC" w:rsidRPr="00A66252">
        <w:rPr>
          <w:lang w:val="fr-FR"/>
        </w:rPr>
        <w:t xml:space="preserve"> la requête recevable et </w:t>
      </w:r>
      <w:r w:rsidR="00E241E8" w:rsidRPr="00A66252">
        <w:rPr>
          <w:lang w:val="fr-FR"/>
        </w:rPr>
        <w:t>dit que la mise à exécution de la décision de renvoyer le requérant en Géorgie n</w:t>
      </w:r>
      <w:r w:rsidR="00A66252" w:rsidRPr="00A66252">
        <w:rPr>
          <w:lang w:val="fr-FR"/>
        </w:rPr>
        <w:t>’</w:t>
      </w:r>
      <w:r w:rsidR="00E241E8" w:rsidRPr="00A66252">
        <w:rPr>
          <w:lang w:val="fr-FR"/>
        </w:rPr>
        <w:t>emporterait pas violation des articles 2 et 3 de la Convention. À la majorité, elle constata la non-violation de l</w:t>
      </w:r>
      <w:r w:rsidR="00A66252" w:rsidRPr="00A66252">
        <w:rPr>
          <w:lang w:val="fr-FR"/>
        </w:rPr>
        <w:t>’</w:t>
      </w:r>
      <w:r w:rsidR="00E241E8" w:rsidRPr="00A66252">
        <w:rPr>
          <w:lang w:val="fr-FR"/>
        </w:rPr>
        <w:t xml:space="preserve">article 8 </w:t>
      </w:r>
      <w:r w:rsidR="00D431FC" w:rsidRPr="00A66252">
        <w:rPr>
          <w:lang w:val="fr-FR"/>
        </w:rPr>
        <w:t xml:space="preserve">de la Convention. </w:t>
      </w:r>
      <w:r w:rsidRPr="00A66252">
        <w:rPr>
          <w:lang w:val="fr-FR"/>
        </w:rPr>
        <w:t xml:space="preserve">Une opinion </w:t>
      </w:r>
      <w:r w:rsidR="00D431FC" w:rsidRPr="00A66252">
        <w:rPr>
          <w:lang w:val="fr-FR"/>
        </w:rPr>
        <w:t>dissidente</w:t>
      </w:r>
      <w:r w:rsidRPr="00A66252">
        <w:rPr>
          <w:lang w:val="fr-FR"/>
        </w:rPr>
        <w:t xml:space="preserve"> du juge </w:t>
      </w:r>
      <w:proofErr w:type="spellStart"/>
      <w:r w:rsidR="00D431FC" w:rsidRPr="00A66252">
        <w:rPr>
          <w:lang w:val="fr-FR"/>
        </w:rPr>
        <w:t>Pejchal</w:t>
      </w:r>
      <w:proofErr w:type="spellEnd"/>
      <w:r w:rsidRPr="00A66252">
        <w:rPr>
          <w:lang w:val="fr-FR"/>
        </w:rPr>
        <w:t xml:space="preserve"> </w:t>
      </w:r>
      <w:r w:rsidR="00940DBB" w:rsidRPr="00A66252">
        <w:rPr>
          <w:lang w:val="fr-FR"/>
        </w:rPr>
        <w:t>était</w:t>
      </w:r>
      <w:r w:rsidR="00003D2C" w:rsidRPr="00A66252">
        <w:rPr>
          <w:lang w:val="fr-FR"/>
        </w:rPr>
        <w:t xml:space="preserve"> </w:t>
      </w:r>
      <w:r w:rsidRPr="00A66252">
        <w:rPr>
          <w:lang w:val="fr-FR"/>
        </w:rPr>
        <w:t>jointe à l</w:t>
      </w:r>
      <w:r w:rsidR="00A66252" w:rsidRPr="00A66252">
        <w:rPr>
          <w:lang w:val="fr-FR"/>
        </w:rPr>
        <w:t>’</w:t>
      </w:r>
      <w:r w:rsidRPr="00A66252">
        <w:rPr>
          <w:lang w:val="fr-FR"/>
        </w:rPr>
        <w:t>arrêt.</w:t>
      </w:r>
      <w:r w:rsidR="00D431FC" w:rsidRPr="00A66252">
        <w:rPr>
          <w:lang w:val="fr-FR"/>
        </w:rPr>
        <w:t xml:space="preserve"> </w:t>
      </w:r>
      <w:r w:rsidR="00322A0C" w:rsidRPr="00A66252">
        <w:rPr>
          <w:lang w:val="fr-FR"/>
        </w:rPr>
        <w:t xml:space="preserve">Le </w:t>
      </w:r>
      <w:r w:rsidR="00760AC2" w:rsidRPr="00A66252">
        <w:rPr>
          <w:lang w:val="fr-FR"/>
        </w:rPr>
        <w:t>14 juillet 2014</w:t>
      </w:r>
      <w:r w:rsidR="00322A0C" w:rsidRPr="00A66252">
        <w:rPr>
          <w:lang w:val="fr-FR"/>
        </w:rPr>
        <w:t>, en vertu de l</w:t>
      </w:r>
      <w:r w:rsidR="00A66252" w:rsidRPr="00A66252">
        <w:rPr>
          <w:lang w:val="fr-FR"/>
        </w:rPr>
        <w:t>’</w:t>
      </w:r>
      <w:r w:rsidR="00322A0C" w:rsidRPr="00A66252">
        <w:rPr>
          <w:lang w:val="fr-FR"/>
        </w:rPr>
        <w:t>article 43 de la Convention, le</w:t>
      </w:r>
      <w:r w:rsidR="007E5FC0" w:rsidRPr="00A66252">
        <w:rPr>
          <w:lang w:val="fr-FR"/>
        </w:rPr>
        <w:t xml:space="preserve"> requérant</w:t>
      </w:r>
      <w:r w:rsidR="00322A0C" w:rsidRPr="00A66252">
        <w:rPr>
          <w:lang w:val="fr-FR"/>
        </w:rPr>
        <w:t xml:space="preserve"> </w:t>
      </w:r>
      <w:r w:rsidR="007E5FC0" w:rsidRPr="00A66252">
        <w:rPr>
          <w:lang w:val="fr-FR"/>
        </w:rPr>
        <w:t>a</w:t>
      </w:r>
      <w:r w:rsidR="00322A0C" w:rsidRPr="00A66252">
        <w:rPr>
          <w:lang w:val="fr-FR"/>
        </w:rPr>
        <w:t xml:space="preserve"> demandé le renvoi de l</w:t>
      </w:r>
      <w:r w:rsidR="00A66252" w:rsidRPr="00A66252">
        <w:rPr>
          <w:lang w:val="fr-FR"/>
        </w:rPr>
        <w:t>’</w:t>
      </w:r>
      <w:r w:rsidR="00322A0C" w:rsidRPr="00A66252">
        <w:rPr>
          <w:lang w:val="fr-FR"/>
        </w:rPr>
        <w:t xml:space="preserve">affaire devant la Grande Chambre. Le collège de la Grande Chambre a fait droit à cette demande le </w:t>
      </w:r>
      <w:r w:rsidR="00760AC2" w:rsidRPr="00A66252">
        <w:rPr>
          <w:lang w:val="fr-FR"/>
        </w:rPr>
        <w:t>20 avril</w:t>
      </w:r>
      <w:r w:rsidR="00322A0C" w:rsidRPr="00A66252">
        <w:rPr>
          <w:lang w:val="fr-FR"/>
        </w:rPr>
        <w:t xml:space="preserve"> 201</w:t>
      </w:r>
      <w:r w:rsidR="007E5FC0" w:rsidRPr="00A66252">
        <w:rPr>
          <w:lang w:val="fr-FR"/>
        </w:rPr>
        <w:t>5</w:t>
      </w:r>
      <w:r w:rsidR="00322A0C" w:rsidRPr="00A66252">
        <w:rPr>
          <w:lang w:val="fr-FR"/>
        </w:rPr>
        <w:t>.</w:t>
      </w:r>
    </w:p>
    <w:p w:rsidR="00A66252" w:rsidRPr="00A66252" w:rsidRDefault="00322A0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w:t>
      </w:r>
      <w:r w:rsidRPr="00A66252">
        <w:rPr>
          <w:lang w:val="fr-FR"/>
        </w:rPr>
        <w:fldChar w:fldCharType="end"/>
      </w:r>
      <w:r w:rsidRPr="00A66252">
        <w:rPr>
          <w:lang w:val="fr-FR"/>
        </w:rPr>
        <w:t>.  La composition de la Grande Chambre a été arrêtée conformément aux articles 26 §§ 4 et 5 de la Convention et 24 du règlement.</w:t>
      </w:r>
    </w:p>
    <w:p w:rsidR="00A94105" w:rsidRPr="00A66252" w:rsidRDefault="00A94105"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w:t>
      </w:r>
      <w:r w:rsidRPr="00A66252">
        <w:rPr>
          <w:lang w:val="fr-FR"/>
        </w:rPr>
        <w:fldChar w:fldCharType="end"/>
      </w:r>
      <w:r w:rsidRPr="00A66252">
        <w:rPr>
          <w:lang w:val="fr-FR"/>
        </w:rPr>
        <w:t>.  </w:t>
      </w:r>
      <w:r w:rsidR="002429E4" w:rsidRPr="00A66252">
        <w:rPr>
          <w:lang w:val="fr-FR"/>
        </w:rPr>
        <w:t xml:space="preserve">À partir des délibérations du 21 juin 2016, Guido Raimondi, Président de la Cour nouvellement élu, a remplacé Dean </w:t>
      </w:r>
      <w:proofErr w:type="spellStart"/>
      <w:r w:rsidR="002429E4" w:rsidRPr="00A66252">
        <w:rPr>
          <w:lang w:val="fr-FR"/>
        </w:rPr>
        <w:t>Spielman</w:t>
      </w:r>
      <w:r w:rsidR="00F7184B" w:rsidRPr="00A66252">
        <w:rPr>
          <w:lang w:val="fr-FR"/>
        </w:rPr>
        <w:t>n</w:t>
      </w:r>
      <w:proofErr w:type="spellEnd"/>
      <w:r w:rsidR="002429E4" w:rsidRPr="00A66252">
        <w:rPr>
          <w:lang w:val="fr-FR"/>
        </w:rPr>
        <w:t>. À partir des</w:t>
      </w:r>
      <w:r w:rsidRPr="00A66252">
        <w:rPr>
          <w:lang w:val="fr-FR"/>
        </w:rPr>
        <w:t xml:space="preserve"> délibérations du 22 septembre 2016, </w:t>
      </w:r>
      <w:proofErr w:type="spellStart"/>
      <w:r w:rsidRPr="00A66252">
        <w:rPr>
          <w:lang w:val="fr-FR"/>
        </w:rPr>
        <w:t>Nebojša</w:t>
      </w:r>
      <w:proofErr w:type="spellEnd"/>
      <w:r w:rsidRPr="00A66252">
        <w:rPr>
          <w:lang w:val="fr-FR"/>
        </w:rPr>
        <w:t xml:space="preserve"> </w:t>
      </w:r>
      <w:proofErr w:type="spellStart"/>
      <w:r w:rsidRPr="00A66252">
        <w:rPr>
          <w:lang w:val="fr-FR"/>
        </w:rPr>
        <w:t>Vučinić</w:t>
      </w:r>
      <w:proofErr w:type="spellEnd"/>
      <w:r w:rsidRPr="00A66252">
        <w:rPr>
          <w:lang w:val="fr-FR"/>
        </w:rPr>
        <w:t xml:space="preserve">, juge suppléant, </w:t>
      </w:r>
      <w:r w:rsidR="002429E4" w:rsidRPr="00A66252">
        <w:rPr>
          <w:lang w:val="fr-FR"/>
        </w:rPr>
        <w:t xml:space="preserve">a </w:t>
      </w:r>
      <w:r w:rsidRPr="00A66252">
        <w:rPr>
          <w:lang w:val="fr-FR"/>
        </w:rPr>
        <w:t>rempla</w:t>
      </w:r>
      <w:r w:rsidR="002429E4" w:rsidRPr="00A66252">
        <w:rPr>
          <w:lang w:val="fr-FR"/>
        </w:rPr>
        <w:t>cé</w:t>
      </w:r>
      <w:r w:rsidRPr="00A66252">
        <w:rPr>
          <w:lang w:val="fr-FR"/>
        </w:rPr>
        <w:t xml:space="preserve"> Johannes </w:t>
      </w:r>
      <w:proofErr w:type="spellStart"/>
      <w:r w:rsidRPr="00A66252">
        <w:rPr>
          <w:lang w:val="fr-FR"/>
        </w:rPr>
        <w:t>Silvis</w:t>
      </w:r>
      <w:proofErr w:type="spellEnd"/>
      <w:r w:rsidRPr="00A66252">
        <w:rPr>
          <w:lang w:val="fr-FR"/>
        </w:rPr>
        <w:t>, empêché (article 24 § 3 du règlement).</w:t>
      </w:r>
    </w:p>
    <w:p w:rsidR="00A66252" w:rsidRPr="00A66252" w:rsidRDefault="00322A0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w:t>
      </w:r>
      <w:r w:rsidRPr="00A66252">
        <w:rPr>
          <w:lang w:val="fr-FR"/>
        </w:rPr>
        <w:fldChar w:fldCharType="end"/>
      </w:r>
      <w:r w:rsidR="001148EB" w:rsidRPr="00A66252">
        <w:rPr>
          <w:lang w:val="fr-FR"/>
        </w:rPr>
        <w:t>.  Tant le requérant</w:t>
      </w:r>
      <w:r w:rsidRPr="00A66252">
        <w:rPr>
          <w:lang w:val="fr-FR"/>
        </w:rPr>
        <w:t xml:space="preserve"> que le Gouvernement ont déposé des observations écrites complémentaires sur le fond (article 59 § 1 du règlement).</w:t>
      </w:r>
    </w:p>
    <w:p w:rsidR="00A66252" w:rsidRPr="00A66252" w:rsidRDefault="00322A0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w:t>
      </w:r>
      <w:r w:rsidRPr="00A66252">
        <w:rPr>
          <w:lang w:val="fr-FR"/>
        </w:rPr>
        <w:fldChar w:fldCharType="end"/>
      </w:r>
      <w:r w:rsidRPr="00A66252">
        <w:rPr>
          <w:lang w:val="fr-FR"/>
        </w:rPr>
        <w:t>.  </w:t>
      </w:r>
      <w:r w:rsidR="00A93C0D" w:rsidRPr="00A66252">
        <w:rPr>
          <w:lang w:val="fr-FR"/>
        </w:rPr>
        <w:t xml:space="preserve">Le Gouvernement géorgien </w:t>
      </w:r>
      <w:r w:rsidR="007D47AE" w:rsidRPr="00A66252">
        <w:rPr>
          <w:lang w:val="fr-FR"/>
        </w:rPr>
        <w:t>a exerc</w:t>
      </w:r>
      <w:r w:rsidR="007D47AE" w:rsidRPr="00A66252">
        <w:rPr>
          <w:rFonts w:cstheme="minorHAnsi"/>
          <w:lang w:val="fr-FR"/>
        </w:rPr>
        <w:t>é</w:t>
      </w:r>
      <w:r w:rsidR="007D47AE" w:rsidRPr="00A66252">
        <w:rPr>
          <w:lang w:val="fr-FR"/>
        </w:rPr>
        <w:t xml:space="preserve"> son droit d</w:t>
      </w:r>
      <w:r w:rsidR="00A66252" w:rsidRPr="00A66252">
        <w:rPr>
          <w:lang w:val="fr-FR"/>
        </w:rPr>
        <w:t>’</w:t>
      </w:r>
      <w:r w:rsidR="007D47AE" w:rsidRPr="00A66252">
        <w:rPr>
          <w:lang w:val="fr-FR"/>
        </w:rPr>
        <w:t xml:space="preserve">intervention </w:t>
      </w:r>
      <w:r w:rsidR="00B32D6C" w:rsidRPr="00A66252">
        <w:rPr>
          <w:lang w:val="fr-FR"/>
        </w:rPr>
        <w:t>(articles </w:t>
      </w:r>
      <w:r w:rsidR="00A93C0D" w:rsidRPr="00A66252">
        <w:rPr>
          <w:lang w:val="fr-FR"/>
        </w:rPr>
        <w:t>36 § 1 de la Convention et 44 § 1 a) du règlement)</w:t>
      </w:r>
      <w:r w:rsidR="007D47AE" w:rsidRPr="00A66252">
        <w:rPr>
          <w:lang w:val="fr-FR"/>
        </w:rPr>
        <w:t>.</w:t>
      </w:r>
      <w:r w:rsidR="00A93C0D" w:rsidRPr="00A66252">
        <w:rPr>
          <w:lang w:val="fr-FR"/>
        </w:rPr>
        <w:t xml:space="preserve"> </w:t>
      </w:r>
      <w:r w:rsidR="007D47AE" w:rsidRPr="00A66252">
        <w:rPr>
          <w:lang w:val="fr-FR"/>
        </w:rPr>
        <w:t>L</w:t>
      </w:r>
      <w:r w:rsidR="00A66252" w:rsidRPr="00A66252">
        <w:rPr>
          <w:lang w:val="fr-FR"/>
        </w:rPr>
        <w:t>’</w:t>
      </w:r>
      <w:r w:rsidR="00A93C0D" w:rsidRPr="00A66252">
        <w:rPr>
          <w:lang w:val="fr-FR"/>
        </w:rPr>
        <w:t>organisation non-gouvernementale, le Centre des droits de l</w:t>
      </w:r>
      <w:r w:rsidR="00A66252" w:rsidRPr="00A66252">
        <w:rPr>
          <w:lang w:val="fr-FR"/>
        </w:rPr>
        <w:t>’</w:t>
      </w:r>
      <w:r w:rsidR="00A93C0D" w:rsidRPr="00A66252">
        <w:rPr>
          <w:lang w:val="fr-FR"/>
        </w:rPr>
        <w:t>homme de l</w:t>
      </w:r>
      <w:r w:rsidR="00A66252" w:rsidRPr="00A66252">
        <w:rPr>
          <w:lang w:val="fr-FR"/>
        </w:rPr>
        <w:t>’</w:t>
      </w:r>
      <w:r w:rsidR="00A93C0D" w:rsidRPr="00A66252">
        <w:rPr>
          <w:lang w:val="fr-FR"/>
        </w:rPr>
        <w:t>Université de Gand (articles 36 § 2 de la Convention et 44 § 3 du règlement),</w:t>
      </w:r>
      <w:r w:rsidR="007D47AE" w:rsidRPr="00A66252">
        <w:rPr>
          <w:lang w:val="fr-FR"/>
        </w:rPr>
        <w:t xml:space="preserve"> s</w:t>
      </w:r>
      <w:r w:rsidR="00A66252" w:rsidRPr="00A66252">
        <w:rPr>
          <w:lang w:val="fr-FR"/>
        </w:rPr>
        <w:t>’</w:t>
      </w:r>
      <w:r w:rsidR="007D47AE" w:rsidRPr="00A66252">
        <w:rPr>
          <w:lang w:val="fr-FR"/>
        </w:rPr>
        <w:t>est vu accorder l</w:t>
      </w:r>
      <w:r w:rsidR="00A66252" w:rsidRPr="00A66252">
        <w:rPr>
          <w:lang w:val="fr-FR"/>
        </w:rPr>
        <w:t>’</w:t>
      </w:r>
      <w:r w:rsidR="007D47AE" w:rsidRPr="00A66252">
        <w:rPr>
          <w:lang w:val="fr-FR"/>
        </w:rPr>
        <w:t>autorisation d</w:t>
      </w:r>
      <w:r w:rsidR="00A66252" w:rsidRPr="00A66252">
        <w:rPr>
          <w:lang w:val="fr-FR"/>
        </w:rPr>
        <w:t>’</w:t>
      </w:r>
      <w:r w:rsidR="007D47AE" w:rsidRPr="00A66252">
        <w:rPr>
          <w:lang w:val="fr-FR"/>
        </w:rPr>
        <w:t xml:space="preserve">intervenir dans la </w:t>
      </w:r>
      <w:proofErr w:type="spellStart"/>
      <w:r w:rsidR="007D47AE" w:rsidRPr="00A66252">
        <w:rPr>
          <w:lang w:val="fr-FR"/>
        </w:rPr>
        <w:t>proc</w:t>
      </w:r>
      <w:r w:rsidR="007D47AE" w:rsidRPr="00A66252">
        <w:rPr>
          <w:rFonts w:cstheme="minorHAnsi"/>
          <w:lang w:val="fr-FR"/>
        </w:rPr>
        <w:t>é</w:t>
      </w:r>
      <w:r w:rsidR="007D47AE" w:rsidRPr="00A66252">
        <w:rPr>
          <w:lang w:val="fr-FR"/>
        </w:rPr>
        <w:t>ure</w:t>
      </w:r>
      <w:proofErr w:type="spellEnd"/>
      <w:r w:rsidR="007D47AE" w:rsidRPr="00A66252">
        <w:rPr>
          <w:lang w:val="fr-FR"/>
        </w:rPr>
        <w:t xml:space="preserve"> </w:t>
      </w:r>
      <w:r w:rsidR="007D47AE" w:rsidRPr="00A66252">
        <w:rPr>
          <w:rFonts w:cstheme="minorHAnsi"/>
          <w:lang w:val="fr-FR"/>
        </w:rPr>
        <w:t>é</w:t>
      </w:r>
      <w:r w:rsidR="007D47AE" w:rsidRPr="00A66252">
        <w:rPr>
          <w:lang w:val="fr-FR"/>
        </w:rPr>
        <w:t>crite</w:t>
      </w:r>
      <w:r w:rsidR="00A93C0D" w:rsidRPr="00A66252">
        <w:rPr>
          <w:lang w:val="fr-FR"/>
        </w:rPr>
        <w:t>.</w:t>
      </w:r>
    </w:p>
    <w:p w:rsidR="00322A0C" w:rsidRPr="00A66252" w:rsidRDefault="00322A0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w:t>
      </w:r>
      <w:r w:rsidRPr="00A66252">
        <w:rPr>
          <w:lang w:val="fr-FR"/>
        </w:rPr>
        <w:fldChar w:fldCharType="end"/>
      </w:r>
      <w:r w:rsidRPr="00A66252">
        <w:rPr>
          <w:lang w:val="fr-FR"/>
        </w:rPr>
        <w:t>.  Une audience s</w:t>
      </w:r>
      <w:r w:rsidR="00A66252" w:rsidRPr="00A66252">
        <w:rPr>
          <w:lang w:val="fr-FR"/>
        </w:rPr>
        <w:t>’</w:t>
      </w:r>
      <w:r w:rsidRPr="00A66252">
        <w:rPr>
          <w:lang w:val="fr-FR"/>
        </w:rPr>
        <w:t>est déroulée en public au Palais des droits de l</w:t>
      </w:r>
      <w:r w:rsidR="00A66252" w:rsidRPr="00A66252">
        <w:rPr>
          <w:lang w:val="fr-FR"/>
        </w:rPr>
        <w:t>’</w:t>
      </w:r>
      <w:r w:rsidRPr="00A66252">
        <w:rPr>
          <w:lang w:val="fr-FR"/>
        </w:rPr>
        <w:t xml:space="preserve">homme, à Strasbourg, le </w:t>
      </w:r>
      <w:r w:rsidR="00153328" w:rsidRPr="00A66252">
        <w:rPr>
          <w:lang w:val="fr-FR"/>
        </w:rPr>
        <w:t>16 septembre 2015</w:t>
      </w:r>
      <w:r w:rsidRPr="00A66252">
        <w:rPr>
          <w:lang w:val="fr-FR"/>
        </w:rPr>
        <w:t xml:space="preserve"> (article 59 § 3 du règlement).</w:t>
      </w:r>
    </w:p>
    <w:p w:rsidR="007E5FC0" w:rsidRPr="00A66252" w:rsidRDefault="007E5FC0" w:rsidP="00A66252">
      <w:pPr>
        <w:pStyle w:val="ECHRPara"/>
        <w:rPr>
          <w:lang w:val="fr-FR"/>
        </w:rPr>
      </w:pPr>
    </w:p>
    <w:p w:rsidR="00144DC5" w:rsidRPr="00A66252" w:rsidRDefault="00144DC5" w:rsidP="00A66252">
      <w:pPr>
        <w:pStyle w:val="ECHRPara"/>
        <w:rPr>
          <w:lang w:val="fr-FR"/>
        </w:rPr>
      </w:pPr>
    </w:p>
    <w:p w:rsidR="00144DC5" w:rsidRPr="00A66252" w:rsidRDefault="00144DC5" w:rsidP="00A66252">
      <w:pPr>
        <w:pStyle w:val="ECHRPara"/>
        <w:rPr>
          <w:lang w:val="fr-FR"/>
        </w:rPr>
      </w:pPr>
    </w:p>
    <w:p w:rsidR="00144DC5" w:rsidRPr="00A66252" w:rsidRDefault="00144DC5" w:rsidP="00A66252">
      <w:pPr>
        <w:pStyle w:val="ECHRPara"/>
        <w:rPr>
          <w:lang w:val="fr-FR"/>
        </w:rPr>
      </w:pPr>
    </w:p>
    <w:p w:rsidR="007E5FC0" w:rsidRPr="00A66252" w:rsidRDefault="007E5FC0" w:rsidP="00A66252">
      <w:pPr>
        <w:pStyle w:val="ECHRPara"/>
        <w:rPr>
          <w:lang w:val="fr-FR"/>
        </w:rPr>
      </w:pPr>
      <w:r w:rsidRPr="00A66252">
        <w:rPr>
          <w:lang w:val="fr-FR"/>
        </w:rPr>
        <w:lastRenderedPageBreak/>
        <w:t>Ont comparu :</w:t>
      </w:r>
    </w:p>
    <w:p w:rsidR="00760AC2" w:rsidRPr="00A66252" w:rsidRDefault="00760AC2" w:rsidP="00A66252">
      <w:pPr>
        <w:pStyle w:val="JuCourt"/>
        <w:keepLines/>
        <w:rPr>
          <w:lang w:val="fr-FR"/>
        </w:rPr>
      </w:pPr>
      <w:r w:rsidRPr="00A66252">
        <w:rPr>
          <w:lang w:val="fr-FR"/>
        </w:rPr>
        <w:t>–  </w:t>
      </w:r>
      <w:r w:rsidRPr="00A66252">
        <w:rPr>
          <w:i/>
          <w:lang w:val="fr-FR"/>
        </w:rPr>
        <w:t>pour le Gouvernement</w:t>
      </w:r>
      <w:r w:rsidRPr="00A66252">
        <w:rPr>
          <w:lang w:val="fr-FR"/>
        </w:rPr>
        <w:br/>
        <w:t>M</w:t>
      </w:r>
      <w:r w:rsidRPr="00A66252">
        <w:rPr>
          <w:vertAlign w:val="superscript"/>
          <w:lang w:val="fr-FR"/>
        </w:rPr>
        <w:t>me</w:t>
      </w:r>
      <w:r w:rsidRPr="00A66252">
        <w:rPr>
          <w:lang w:val="fr-FR"/>
        </w:rPr>
        <w:tab/>
        <w:t xml:space="preserve">I. </w:t>
      </w:r>
      <w:proofErr w:type="spellStart"/>
      <w:r w:rsidRPr="00A66252">
        <w:rPr>
          <w:rStyle w:val="JuNames0"/>
          <w:lang w:val="fr-FR"/>
        </w:rPr>
        <w:t>Niedlispacher</w:t>
      </w:r>
      <w:proofErr w:type="spellEnd"/>
      <w:r w:rsidRPr="00A66252">
        <w:rPr>
          <w:lang w:val="fr-FR"/>
        </w:rPr>
        <w:t xml:space="preserve">, </w:t>
      </w:r>
      <w:r w:rsidRPr="00A66252">
        <w:rPr>
          <w:lang w:val="fr-FR"/>
        </w:rPr>
        <w:tab/>
      </w:r>
      <w:proofErr w:type="spellStart"/>
      <w:r w:rsidRPr="00A66252">
        <w:rPr>
          <w:i/>
          <w:lang w:val="fr-FR"/>
        </w:rPr>
        <w:t>co</w:t>
      </w:r>
      <w:proofErr w:type="spellEnd"/>
      <w:r w:rsidRPr="00A66252">
        <w:rPr>
          <w:i/>
          <w:lang w:val="fr-FR"/>
        </w:rPr>
        <w:t>-agente</w:t>
      </w:r>
      <w:r w:rsidR="00153328" w:rsidRPr="00A66252">
        <w:rPr>
          <w:i/>
          <w:lang w:val="fr-FR"/>
        </w:rPr>
        <w:t>,</w:t>
      </w:r>
    </w:p>
    <w:p w:rsidR="00760AC2" w:rsidRPr="00A66252" w:rsidRDefault="00760AC2" w:rsidP="00A66252">
      <w:pPr>
        <w:pStyle w:val="JuCourt"/>
        <w:keepLines/>
        <w:spacing w:before="0"/>
        <w:rPr>
          <w:lang w:val="fr-FR"/>
        </w:rPr>
      </w:pPr>
      <w:r w:rsidRPr="00A66252">
        <w:rPr>
          <w:lang w:val="fr-FR"/>
        </w:rPr>
        <w:tab/>
        <w:t>M</w:t>
      </w:r>
      <w:r w:rsidRPr="00A66252">
        <w:rPr>
          <w:vertAlign w:val="superscript"/>
          <w:lang w:val="fr-FR"/>
        </w:rPr>
        <w:t>e</w:t>
      </w:r>
      <w:r w:rsidRPr="00A66252">
        <w:rPr>
          <w:lang w:val="fr-FR"/>
        </w:rPr>
        <w:tab/>
        <w:t xml:space="preserve">F. </w:t>
      </w:r>
      <w:proofErr w:type="spellStart"/>
      <w:r w:rsidRPr="00A66252">
        <w:rPr>
          <w:rStyle w:val="JuNames0"/>
          <w:lang w:val="fr-FR"/>
        </w:rPr>
        <w:t>Motulsky</w:t>
      </w:r>
      <w:proofErr w:type="spellEnd"/>
      <w:r w:rsidRPr="00A66252">
        <w:rPr>
          <w:lang w:val="fr-FR"/>
        </w:rPr>
        <w:t>, avocat</w:t>
      </w:r>
      <w:r w:rsidRPr="00A66252">
        <w:rPr>
          <w:lang w:val="fr-FR"/>
        </w:rPr>
        <w:tab/>
      </w:r>
      <w:r w:rsidRPr="00A66252">
        <w:rPr>
          <w:i/>
          <w:lang w:val="fr-FR"/>
        </w:rPr>
        <w:t>conseil</w:t>
      </w:r>
      <w:r w:rsidR="00153328" w:rsidRPr="00A66252">
        <w:rPr>
          <w:i/>
          <w:lang w:val="fr-FR"/>
        </w:rPr>
        <w:t> ;</w:t>
      </w:r>
    </w:p>
    <w:p w:rsidR="007E5FC0" w:rsidRPr="00A66252" w:rsidRDefault="007E5FC0" w:rsidP="00A66252">
      <w:pPr>
        <w:pStyle w:val="JuCourt"/>
        <w:keepLines/>
        <w:rPr>
          <w:lang w:val="fr-FR"/>
        </w:rPr>
      </w:pPr>
      <w:r w:rsidRPr="00A66252">
        <w:rPr>
          <w:lang w:val="fr-FR"/>
        </w:rPr>
        <w:t>–  </w:t>
      </w:r>
      <w:r w:rsidRPr="00A66252">
        <w:rPr>
          <w:i/>
          <w:lang w:val="fr-FR"/>
        </w:rPr>
        <w:t>pour le requérant</w:t>
      </w:r>
      <w:r w:rsidRPr="00A66252">
        <w:rPr>
          <w:lang w:val="fr-FR"/>
        </w:rPr>
        <w:br/>
        <w:t>M</w:t>
      </w:r>
      <w:r w:rsidRPr="00A66252">
        <w:rPr>
          <w:vertAlign w:val="superscript"/>
          <w:lang w:val="fr-FR"/>
        </w:rPr>
        <w:t>e</w:t>
      </w:r>
      <w:r w:rsidRPr="00A66252">
        <w:rPr>
          <w:lang w:val="fr-FR"/>
        </w:rPr>
        <w:tab/>
        <w:t xml:space="preserve">C. </w:t>
      </w:r>
      <w:proofErr w:type="spellStart"/>
      <w:r w:rsidRPr="00A66252">
        <w:rPr>
          <w:rStyle w:val="JuNames0"/>
          <w:lang w:val="fr-FR"/>
        </w:rPr>
        <w:t>V</w:t>
      </w:r>
      <w:r w:rsidR="00153328" w:rsidRPr="00A66252">
        <w:rPr>
          <w:rStyle w:val="JuNames0"/>
          <w:lang w:val="fr-FR"/>
        </w:rPr>
        <w:t>erbrou</w:t>
      </w:r>
      <w:r w:rsidRPr="00A66252">
        <w:rPr>
          <w:rStyle w:val="JuNames0"/>
          <w:lang w:val="fr-FR"/>
        </w:rPr>
        <w:t>ck</w:t>
      </w:r>
      <w:proofErr w:type="spellEnd"/>
      <w:r w:rsidRPr="00A66252">
        <w:rPr>
          <w:lang w:val="fr-FR"/>
        </w:rPr>
        <w:t>, avocate,</w:t>
      </w:r>
      <w:r w:rsidRPr="00A66252">
        <w:rPr>
          <w:lang w:val="fr-FR"/>
        </w:rPr>
        <w:tab/>
      </w:r>
      <w:r w:rsidRPr="00A66252">
        <w:rPr>
          <w:lang w:val="fr-FR"/>
        </w:rPr>
        <w:br/>
        <w:t>M</w:t>
      </w:r>
      <w:r w:rsidRPr="00A66252">
        <w:rPr>
          <w:vertAlign w:val="superscript"/>
          <w:lang w:val="fr-FR"/>
        </w:rPr>
        <w:t>e</w:t>
      </w:r>
      <w:r w:rsidRPr="00A66252">
        <w:rPr>
          <w:lang w:val="fr-FR"/>
        </w:rPr>
        <w:tab/>
        <w:t xml:space="preserve">J. </w:t>
      </w:r>
      <w:proofErr w:type="spellStart"/>
      <w:r w:rsidRPr="00A66252">
        <w:rPr>
          <w:rStyle w:val="JuNames0"/>
          <w:lang w:val="fr-FR"/>
        </w:rPr>
        <w:t>Kern</w:t>
      </w:r>
      <w:proofErr w:type="spellEnd"/>
      <w:r w:rsidRPr="00A66252">
        <w:rPr>
          <w:lang w:val="fr-FR"/>
        </w:rPr>
        <w:t>,</w:t>
      </w:r>
      <w:r w:rsidR="00760AC2" w:rsidRPr="00A66252">
        <w:rPr>
          <w:lang w:val="fr-FR"/>
        </w:rPr>
        <w:t xml:space="preserve"> avocate</w:t>
      </w:r>
      <w:r w:rsidRPr="00A66252">
        <w:rPr>
          <w:lang w:val="fr-FR"/>
        </w:rPr>
        <w:tab/>
      </w:r>
      <w:r w:rsidRPr="00A66252">
        <w:rPr>
          <w:i/>
          <w:lang w:val="fr-FR"/>
        </w:rPr>
        <w:t>conseils</w:t>
      </w:r>
      <w:r w:rsidR="00153328" w:rsidRPr="00A66252">
        <w:rPr>
          <w:i/>
          <w:lang w:val="fr-FR"/>
        </w:rPr>
        <w:t> ;</w:t>
      </w:r>
    </w:p>
    <w:p w:rsidR="00153328" w:rsidRPr="00A66252" w:rsidRDefault="00760AC2" w:rsidP="00A66252">
      <w:pPr>
        <w:pStyle w:val="JuCourt"/>
        <w:keepLines/>
        <w:rPr>
          <w:lang w:val="fr-FR"/>
        </w:rPr>
      </w:pPr>
      <w:r w:rsidRPr="00A66252">
        <w:rPr>
          <w:lang w:val="fr-FR"/>
        </w:rPr>
        <w:t>–  </w:t>
      </w:r>
      <w:r w:rsidRPr="00A66252">
        <w:rPr>
          <w:i/>
          <w:lang w:val="fr-FR"/>
        </w:rPr>
        <w:t>pour le gouvernement géorgien, tiers intervenant</w:t>
      </w:r>
      <w:r w:rsidRPr="00A66252">
        <w:rPr>
          <w:lang w:val="fr-FR"/>
        </w:rPr>
        <w:br/>
        <w:t>M</w:t>
      </w:r>
      <w:r w:rsidR="00153328" w:rsidRPr="00A66252">
        <w:rPr>
          <w:lang w:val="fr-FR"/>
        </w:rPr>
        <w:t>.</w:t>
      </w:r>
      <w:r w:rsidRPr="00A66252">
        <w:rPr>
          <w:lang w:val="fr-FR"/>
        </w:rPr>
        <w:tab/>
      </w:r>
      <w:r w:rsidR="00153328" w:rsidRPr="00A66252">
        <w:rPr>
          <w:lang w:val="fr-FR"/>
        </w:rPr>
        <w:t>A</w:t>
      </w:r>
      <w:r w:rsidRPr="00A66252">
        <w:rPr>
          <w:lang w:val="fr-FR"/>
        </w:rPr>
        <w:t xml:space="preserve">. </w:t>
      </w:r>
      <w:proofErr w:type="spellStart"/>
      <w:r w:rsidR="00153328" w:rsidRPr="00A66252">
        <w:rPr>
          <w:rStyle w:val="JuNames0"/>
          <w:lang w:val="fr-FR"/>
        </w:rPr>
        <w:t>Baramidze</w:t>
      </w:r>
      <w:proofErr w:type="spellEnd"/>
      <w:r w:rsidRPr="00A66252">
        <w:rPr>
          <w:lang w:val="fr-FR"/>
        </w:rPr>
        <w:t xml:space="preserve">, </w:t>
      </w:r>
      <w:r w:rsidR="00153328" w:rsidRPr="00A66252">
        <w:rPr>
          <w:lang w:val="fr-FR"/>
        </w:rPr>
        <w:t>premier adjoint du Ministre de la justice.</w:t>
      </w:r>
    </w:p>
    <w:p w:rsidR="00760AC2" w:rsidRPr="00A66252" w:rsidRDefault="00760AC2" w:rsidP="00A66252">
      <w:pPr>
        <w:pStyle w:val="ECHRPara"/>
        <w:rPr>
          <w:lang w:val="fr-FR"/>
        </w:rPr>
      </w:pPr>
    </w:p>
    <w:p w:rsidR="007E5FC0" w:rsidRPr="00A66252" w:rsidRDefault="007E5FC0" w:rsidP="00A66252">
      <w:pPr>
        <w:pStyle w:val="ECHRPara"/>
        <w:rPr>
          <w:lang w:val="fr-FR"/>
        </w:rPr>
      </w:pPr>
      <w:r w:rsidRPr="00A66252">
        <w:rPr>
          <w:lang w:val="fr-FR"/>
        </w:rPr>
        <w:t>La Cour a entendu M</w:t>
      </w:r>
      <w:r w:rsidRPr="00A66252">
        <w:rPr>
          <w:vertAlign w:val="superscript"/>
          <w:lang w:val="fr-FR"/>
        </w:rPr>
        <w:t>e</w:t>
      </w:r>
      <w:r w:rsidRPr="00A66252">
        <w:rPr>
          <w:lang w:val="fr-FR"/>
        </w:rPr>
        <w:t> </w:t>
      </w:r>
      <w:proofErr w:type="spellStart"/>
      <w:r w:rsidR="00153328" w:rsidRPr="00A66252">
        <w:rPr>
          <w:lang w:val="fr-FR"/>
        </w:rPr>
        <w:t>Verbrouck</w:t>
      </w:r>
      <w:proofErr w:type="spellEnd"/>
      <w:r w:rsidRPr="00A66252">
        <w:rPr>
          <w:lang w:val="fr-FR"/>
        </w:rPr>
        <w:t>, M</w:t>
      </w:r>
      <w:r w:rsidRPr="00A66252">
        <w:rPr>
          <w:vertAlign w:val="superscript"/>
          <w:lang w:val="fr-FR"/>
        </w:rPr>
        <w:t>e</w:t>
      </w:r>
      <w:r w:rsidRPr="00A66252">
        <w:rPr>
          <w:lang w:val="fr-FR"/>
        </w:rPr>
        <w:t xml:space="preserve"> </w:t>
      </w:r>
      <w:proofErr w:type="spellStart"/>
      <w:r w:rsidR="00153328" w:rsidRPr="00A66252">
        <w:rPr>
          <w:lang w:val="fr-FR"/>
        </w:rPr>
        <w:t>Kern</w:t>
      </w:r>
      <w:proofErr w:type="spellEnd"/>
      <w:r w:rsidR="00153328" w:rsidRPr="00A66252">
        <w:rPr>
          <w:lang w:val="fr-FR"/>
        </w:rPr>
        <w:t>, M</w:t>
      </w:r>
      <w:r w:rsidR="00153328" w:rsidRPr="00A66252">
        <w:rPr>
          <w:vertAlign w:val="superscript"/>
          <w:lang w:val="fr-FR"/>
        </w:rPr>
        <w:t>e</w:t>
      </w:r>
      <w:r w:rsidR="00153328" w:rsidRPr="00A66252">
        <w:rPr>
          <w:lang w:val="fr-FR"/>
        </w:rPr>
        <w:t xml:space="preserve"> </w:t>
      </w:r>
      <w:proofErr w:type="spellStart"/>
      <w:r w:rsidR="00153328" w:rsidRPr="00A66252">
        <w:rPr>
          <w:lang w:val="fr-FR"/>
        </w:rPr>
        <w:t>Motulsky</w:t>
      </w:r>
      <w:proofErr w:type="spellEnd"/>
      <w:r w:rsidR="00153328" w:rsidRPr="00A66252">
        <w:rPr>
          <w:lang w:val="fr-FR"/>
        </w:rPr>
        <w:t>,</w:t>
      </w:r>
      <w:r w:rsidRPr="00A66252">
        <w:rPr>
          <w:lang w:val="fr-FR"/>
        </w:rPr>
        <w:t xml:space="preserve"> M</w:t>
      </w:r>
      <w:r w:rsidRPr="00A66252">
        <w:rPr>
          <w:vertAlign w:val="superscript"/>
          <w:lang w:val="fr-FR"/>
        </w:rPr>
        <w:t>me</w:t>
      </w:r>
      <w:r w:rsidR="00B32D6C" w:rsidRPr="00A66252">
        <w:rPr>
          <w:lang w:val="fr-FR"/>
        </w:rPr>
        <w:t> </w:t>
      </w:r>
      <w:proofErr w:type="spellStart"/>
      <w:r w:rsidRPr="00A66252">
        <w:rPr>
          <w:lang w:val="fr-FR"/>
        </w:rPr>
        <w:t>Niedlispacher</w:t>
      </w:r>
      <w:proofErr w:type="spellEnd"/>
      <w:r w:rsidRPr="00A66252">
        <w:rPr>
          <w:lang w:val="fr-FR"/>
        </w:rPr>
        <w:t xml:space="preserve">, </w:t>
      </w:r>
      <w:r w:rsidR="00153328" w:rsidRPr="00A66252">
        <w:rPr>
          <w:lang w:val="fr-FR"/>
        </w:rPr>
        <w:t xml:space="preserve">et M. </w:t>
      </w:r>
      <w:proofErr w:type="spellStart"/>
      <w:r w:rsidR="00153328" w:rsidRPr="00A66252">
        <w:rPr>
          <w:lang w:val="fr-FR"/>
        </w:rPr>
        <w:t>Baramidze</w:t>
      </w:r>
      <w:proofErr w:type="spellEnd"/>
      <w:r w:rsidR="00153328" w:rsidRPr="00A66252">
        <w:rPr>
          <w:lang w:val="fr-FR"/>
        </w:rPr>
        <w:t xml:space="preserve"> en leurs déclarations ainsi qu</w:t>
      </w:r>
      <w:r w:rsidR="00A66252" w:rsidRPr="00A66252">
        <w:rPr>
          <w:lang w:val="fr-FR"/>
        </w:rPr>
        <w:t>’</w:t>
      </w:r>
      <w:r w:rsidR="00153328" w:rsidRPr="00A66252">
        <w:rPr>
          <w:lang w:val="fr-FR"/>
        </w:rPr>
        <w:t xml:space="preserve">en </w:t>
      </w:r>
      <w:r w:rsidRPr="00A66252">
        <w:rPr>
          <w:lang w:val="fr-FR"/>
        </w:rPr>
        <w:t xml:space="preserve">leurs réponses </w:t>
      </w:r>
      <w:r w:rsidR="00607F7E" w:rsidRPr="00A66252">
        <w:rPr>
          <w:lang w:val="fr-FR"/>
        </w:rPr>
        <w:t xml:space="preserve">aux </w:t>
      </w:r>
      <w:r w:rsidRPr="00A66252">
        <w:rPr>
          <w:lang w:val="fr-FR"/>
        </w:rPr>
        <w:t>question</w:t>
      </w:r>
      <w:r w:rsidR="00607F7E" w:rsidRPr="00A66252">
        <w:rPr>
          <w:lang w:val="fr-FR"/>
        </w:rPr>
        <w:t>s pos</w:t>
      </w:r>
      <w:r w:rsidR="00607F7E" w:rsidRPr="00A66252">
        <w:rPr>
          <w:rFonts w:cstheme="minorHAnsi"/>
          <w:lang w:val="fr-FR"/>
        </w:rPr>
        <w:t>é</w:t>
      </w:r>
      <w:r w:rsidR="00607F7E" w:rsidRPr="00A66252">
        <w:rPr>
          <w:lang w:val="fr-FR"/>
        </w:rPr>
        <w:t>es par un juge</w:t>
      </w:r>
      <w:r w:rsidR="00153328" w:rsidRPr="00A66252">
        <w:rPr>
          <w:lang w:val="fr-FR"/>
        </w:rPr>
        <w:t>.</w:t>
      </w:r>
    </w:p>
    <w:p w:rsidR="00E77CB3" w:rsidRPr="00A66252" w:rsidRDefault="00E77CB3" w:rsidP="00A66252">
      <w:pPr>
        <w:pStyle w:val="ECHRTitle1"/>
        <w:tabs>
          <w:tab w:val="left" w:pos="5387"/>
        </w:tabs>
        <w:rPr>
          <w:lang w:val="fr-FR"/>
        </w:rPr>
      </w:pPr>
      <w:r w:rsidRPr="00A66252">
        <w:rPr>
          <w:lang w:val="fr-FR"/>
        </w:rPr>
        <w:t>EN FAIT</w:t>
      </w:r>
    </w:p>
    <w:p w:rsidR="00E77CB3" w:rsidRPr="00A66252" w:rsidRDefault="00E77CB3" w:rsidP="00A66252">
      <w:pPr>
        <w:pStyle w:val="ECHRHeading1"/>
        <w:rPr>
          <w:lang w:val="fr-FR"/>
        </w:rPr>
      </w:pPr>
      <w:r w:rsidRPr="00A66252">
        <w:rPr>
          <w:lang w:val="fr-FR"/>
        </w:rPr>
        <w:t>I.  LES CIRCONSTANCES DE L</w:t>
      </w:r>
      <w:r w:rsidR="00A66252" w:rsidRPr="00A66252">
        <w:rPr>
          <w:lang w:val="fr-FR"/>
        </w:rPr>
        <w:t>’</w:t>
      </w:r>
      <w:r w:rsidRPr="00A66252">
        <w:rPr>
          <w:lang w:val="fr-FR"/>
        </w:rPr>
        <w:t>ESPÈCE</w:t>
      </w:r>
    </w:p>
    <w:p w:rsidR="006E5806"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w:t>
      </w:r>
      <w:r w:rsidRPr="00A66252">
        <w:rPr>
          <w:lang w:val="fr-FR"/>
        </w:rPr>
        <w:fldChar w:fldCharType="end"/>
      </w:r>
      <w:r w:rsidRPr="00A66252">
        <w:rPr>
          <w:lang w:val="fr-FR"/>
        </w:rPr>
        <w:t xml:space="preserve">.  Le requérant </w:t>
      </w:r>
      <w:r w:rsidR="0004282E" w:rsidRPr="00A66252">
        <w:rPr>
          <w:lang w:val="fr-FR"/>
        </w:rPr>
        <w:t xml:space="preserve">est </w:t>
      </w:r>
      <w:r w:rsidRPr="00A66252">
        <w:rPr>
          <w:lang w:val="fr-FR"/>
        </w:rPr>
        <w:t>né en 1958</w:t>
      </w:r>
      <w:r w:rsidR="00FF01A8" w:rsidRPr="00A66252">
        <w:rPr>
          <w:lang w:val="fr-FR"/>
        </w:rPr>
        <w:t>. Il</w:t>
      </w:r>
      <w:r w:rsidRPr="00A66252">
        <w:rPr>
          <w:lang w:val="fr-FR"/>
        </w:rPr>
        <w:t xml:space="preserve"> </w:t>
      </w:r>
      <w:r w:rsidR="005F6576" w:rsidRPr="00A66252">
        <w:rPr>
          <w:lang w:val="fr-FR"/>
        </w:rPr>
        <w:t>a résidé</w:t>
      </w:r>
      <w:r w:rsidRPr="00A66252">
        <w:rPr>
          <w:lang w:val="fr-FR"/>
        </w:rPr>
        <w:t xml:space="preserve"> à Bruxelles</w:t>
      </w:r>
      <w:r w:rsidR="00FF01A8" w:rsidRPr="00A66252">
        <w:rPr>
          <w:lang w:val="fr-FR"/>
        </w:rPr>
        <w:t xml:space="preserve"> et y </w:t>
      </w:r>
      <w:r w:rsidR="005F6576" w:rsidRPr="00A66252">
        <w:rPr>
          <w:lang w:val="fr-FR"/>
        </w:rPr>
        <w:t>est décédé</w:t>
      </w:r>
      <w:r w:rsidR="00FF01A8" w:rsidRPr="00A66252">
        <w:rPr>
          <w:lang w:val="fr-FR"/>
        </w:rPr>
        <w:t xml:space="preserve"> le 7 juin 2016</w:t>
      </w:r>
      <w:r w:rsidRPr="00A66252">
        <w:rPr>
          <w:lang w:val="fr-FR"/>
        </w:rPr>
        <w:t>.</w:t>
      </w:r>
    </w:p>
    <w:p w:rsidR="00003D2C"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11</w:t>
      </w:r>
      <w:r w:rsidRPr="00A66252">
        <w:rPr>
          <w:lang w:val="fr-FR"/>
        </w:rPr>
        <w:fldChar w:fldCharType="end"/>
      </w:r>
      <w:r w:rsidRPr="00A66252">
        <w:rPr>
          <w:lang w:val="fr-FR"/>
        </w:rPr>
        <w:t>.  Il arriva en Belgique, via l</w:t>
      </w:r>
      <w:r w:rsidR="00A66252" w:rsidRPr="00A66252">
        <w:rPr>
          <w:lang w:val="fr-FR"/>
        </w:rPr>
        <w:t>’</w:t>
      </w:r>
      <w:r w:rsidRPr="00A66252">
        <w:rPr>
          <w:lang w:val="fr-FR"/>
        </w:rPr>
        <w:t>Italie, le 25 novembre 1998, accompagné de son épouse et d</w:t>
      </w:r>
      <w:r w:rsidR="00A66252" w:rsidRPr="00A66252">
        <w:rPr>
          <w:lang w:val="fr-FR"/>
        </w:rPr>
        <w:t>’</w:t>
      </w:r>
      <w:r w:rsidR="00F56B88" w:rsidRPr="00A66252">
        <w:rPr>
          <w:lang w:val="fr-FR"/>
        </w:rPr>
        <w:t>une enfant</w:t>
      </w:r>
      <w:r w:rsidR="00F56B88" w:rsidRPr="00A66252">
        <w:rPr>
          <w:b/>
          <w:lang w:val="fr-FR"/>
        </w:rPr>
        <w:t xml:space="preserve"> </w:t>
      </w:r>
      <w:r w:rsidRPr="00A66252">
        <w:rPr>
          <w:lang w:val="fr-FR"/>
        </w:rPr>
        <w:t xml:space="preserve">alors âgée de six ans. </w:t>
      </w:r>
      <w:r w:rsidR="00F56B88" w:rsidRPr="00A66252">
        <w:rPr>
          <w:lang w:val="fr-FR"/>
        </w:rPr>
        <w:t>Le requérant sout</w:t>
      </w:r>
      <w:r w:rsidR="00FF01A8" w:rsidRPr="00A66252">
        <w:rPr>
          <w:lang w:val="fr-FR"/>
        </w:rPr>
        <w:t xml:space="preserve">enait </w:t>
      </w:r>
      <w:r w:rsidR="00F56B88" w:rsidRPr="00A66252">
        <w:rPr>
          <w:lang w:val="fr-FR"/>
        </w:rPr>
        <w:t xml:space="preserve">être le père de cet enfant, ce que conteste le Gouvernement. </w:t>
      </w:r>
      <w:r w:rsidRPr="00A66252">
        <w:rPr>
          <w:lang w:val="fr-FR"/>
        </w:rPr>
        <w:t>Le couple a ensuite eu un enfant en août 1999 et un second enfant en juillet 2006.</w:t>
      </w:r>
    </w:p>
    <w:p w:rsidR="006E5806" w:rsidRPr="00A66252" w:rsidRDefault="001321E7" w:rsidP="00A66252">
      <w:pPr>
        <w:pStyle w:val="ECHRHeading2"/>
        <w:rPr>
          <w:lang w:val="fr-FR"/>
        </w:rPr>
      </w:pPr>
      <w:r w:rsidRPr="00A66252">
        <w:rPr>
          <w:lang w:val="fr-FR"/>
        </w:rPr>
        <w:t>A</w:t>
      </w:r>
      <w:r w:rsidR="00276F84" w:rsidRPr="00A66252">
        <w:rPr>
          <w:lang w:val="fr-FR"/>
        </w:rPr>
        <w:t>.  </w:t>
      </w:r>
      <w:r w:rsidR="00CD2EF5" w:rsidRPr="00A66252">
        <w:rPr>
          <w:lang w:val="fr-FR"/>
        </w:rPr>
        <w:t>Les p</w:t>
      </w:r>
      <w:r w:rsidR="006E5806" w:rsidRPr="00A66252">
        <w:rPr>
          <w:lang w:val="fr-FR"/>
        </w:rPr>
        <w:t>rocédures pénales</w:t>
      </w:r>
    </w:p>
    <w:p w:rsidR="006E5806"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12</w:t>
      </w:r>
      <w:r w:rsidRPr="00A66252">
        <w:rPr>
          <w:lang w:val="fr-FR"/>
        </w:rPr>
        <w:fldChar w:fldCharType="end"/>
      </w:r>
      <w:r w:rsidRPr="00A66252">
        <w:rPr>
          <w:lang w:val="fr-FR"/>
        </w:rPr>
        <w:t>.  Le 29 décembre 1998, le requérant fut interpellé et écroué pour faits de vol et, le 14 avril 1999, il fut condamné à une peine de sept mois d</w:t>
      </w:r>
      <w:r w:rsidR="00A66252" w:rsidRPr="00A66252">
        <w:rPr>
          <w:lang w:val="fr-FR"/>
        </w:rPr>
        <w:t>’</w:t>
      </w:r>
      <w:r w:rsidRPr="00A66252">
        <w:rPr>
          <w:lang w:val="fr-FR"/>
        </w:rPr>
        <w:t>emprisonnement avec sursis, sauf pour ce qui concerne la période de détention préventive.</w:t>
      </w:r>
    </w:p>
    <w:p w:rsidR="006E5806"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13</w:t>
      </w:r>
      <w:r w:rsidRPr="00A66252">
        <w:rPr>
          <w:lang w:val="fr-FR"/>
        </w:rPr>
        <w:fldChar w:fldCharType="end"/>
      </w:r>
      <w:r w:rsidRPr="00A66252">
        <w:rPr>
          <w:lang w:val="fr-FR"/>
        </w:rPr>
        <w:t>.  En 1999 et 2000, le requérant et son épouse furent interpellés à plusieurs reprises pour des faits de vol.</w:t>
      </w:r>
    </w:p>
    <w:p w:rsidR="006E5806"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14</w:t>
      </w:r>
      <w:r w:rsidRPr="00A66252">
        <w:rPr>
          <w:lang w:val="fr-FR"/>
        </w:rPr>
        <w:fldChar w:fldCharType="end"/>
      </w:r>
      <w:r w:rsidRPr="00A66252">
        <w:rPr>
          <w:lang w:val="fr-FR"/>
        </w:rPr>
        <w:t>.  Le 28 avril 2000, l</w:t>
      </w:r>
      <w:r w:rsidR="00A66252" w:rsidRPr="00A66252">
        <w:rPr>
          <w:lang w:val="fr-FR"/>
        </w:rPr>
        <w:t>’</w:t>
      </w:r>
      <w:r w:rsidRPr="00A66252">
        <w:rPr>
          <w:lang w:val="fr-FR"/>
        </w:rPr>
        <w:t>épouse du requérant fut condamnée à quatre mois d</w:t>
      </w:r>
      <w:r w:rsidR="00A66252" w:rsidRPr="00A66252">
        <w:rPr>
          <w:lang w:val="fr-FR"/>
        </w:rPr>
        <w:t>’</w:t>
      </w:r>
      <w:r w:rsidRPr="00A66252">
        <w:rPr>
          <w:lang w:val="fr-FR"/>
        </w:rPr>
        <w:t>emprisonnement ferme pour vol.</w:t>
      </w:r>
    </w:p>
    <w:p w:rsidR="006E5806"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15</w:t>
      </w:r>
      <w:r w:rsidRPr="00A66252">
        <w:rPr>
          <w:lang w:val="fr-FR"/>
        </w:rPr>
        <w:fldChar w:fldCharType="end"/>
      </w:r>
      <w:r w:rsidRPr="00A66252">
        <w:rPr>
          <w:lang w:val="fr-FR"/>
        </w:rPr>
        <w:t>.  Le 18 décembre 2001, le requérant fut condamné notamment pour vol avec violences et menaces à une peine de quatorze mois d</w:t>
      </w:r>
      <w:r w:rsidR="00A66252" w:rsidRPr="00A66252">
        <w:rPr>
          <w:lang w:val="fr-FR"/>
        </w:rPr>
        <w:t>’</w:t>
      </w:r>
      <w:r w:rsidRPr="00A66252">
        <w:rPr>
          <w:lang w:val="fr-FR"/>
        </w:rPr>
        <w:t>emprisonnement avec sursis, sauf pour ce qui concerne la période de détention préventive.</w:t>
      </w:r>
    </w:p>
    <w:p w:rsidR="006E5806" w:rsidRPr="00A66252" w:rsidRDefault="006E5806"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16</w:t>
      </w:r>
      <w:r w:rsidRPr="00A66252">
        <w:rPr>
          <w:lang w:val="fr-FR"/>
        </w:rPr>
        <w:fldChar w:fldCharType="end"/>
      </w:r>
      <w:r w:rsidRPr="00A66252">
        <w:rPr>
          <w:lang w:val="fr-FR"/>
        </w:rPr>
        <w:t>.  Le 9 novembre 2005, le requérant fut condamné par la cour d</w:t>
      </w:r>
      <w:r w:rsidR="00A66252" w:rsidRPr="00A66252">
        <w:rPr>
          <w:lang w:val="fr-FR"/>
        </w:rPr>
        <w:t>’</w:t>
      </w:r>
      <w:r w:rsidRPr="00A66252">
        <w:rPr>
          <w:lang w:val="fr-FR"/>
        </w:rPr>
        <w:t>appel de Gand à une peine d</w:t>
      </w:r>
      <w:r w:rsidR="00A66252" w:rsidRPr="00A66252">
        <w:rPr>
          <w:lang w:val="fr-FR"/>
        </w:rPr>
        <w:t>’</w:t>
      </w:r>
      <w:r w:rsidRPr="00A66252">
        <w:rPr>
          <w:lang w:val="fr-FR"/>
        </w:rPr>
        <w:t>emprisonnement ferme de trois ans pour participation à une organisation criminelle pour obtenir des avantages patrimoniaux en recourant notamment à l</w:t>
      </w:r>
      <w:r w:rsidR="00A66252" w:rsidRPr="00A66252">
        <w:rPr>
          <w:lang w:val="fr-FR"/>
        </w:rPr>
        <w:t>’</w:t>
      </w:r>
      <w:r w:rsidRPr="00A66252">
        <w:rPr>
          <w:lang w:val="fr-FR"/>
        </w:rPr>
        <w:t>intimidation, à des manœuvres frauduleuses ou à la corruption.</w:t>
      </w:r>
    </w:p>
    <w:bookmarkStart w:id="1" w:name="DET"/>
    <w:p w:rsidR="006E5806" w:rsidRPr="00A66252" w:rsidRDefault="006E58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17</w:t>
      </w:r>
      <w:r w:rsidRPr="00A66252">
        <w:rPr>
          <w:lang w:val="fr-FR"/>
        </w:rPr>
        <w:fldChar w:fldCharType="end"/>
      </w:r>
      <w:bookmarkEnd w:id="1"/>
      <w:r w:rsidRPr="00A66252">
        <w:rPr>
          <w:lang w:val="fr-FR"/>
        </w:rPr>
        <w:t>.  Ayant déjà passé une période en détention préventive, il fut ensuite incarcéré à la prison de Forest puis à la prison de Merksplas où il demeura incarcéré, afin de purger la peine à</w:t>
      </w:r>
      <w:r w:rsidR="004F7C05" w:rsidRPr="00A66252">
        <w:rPr>
          <w:lang w:val="fr-FR"/>
        </w:rPr>
        <w:t xml:space="preserve"> laquelle il avait été condamné</w:t>
      </w:r>
      <w:r w:rsidRPr="00A66252">
        <w:rPr>
          <w:lang w:val="fr-FR"/>
        </w:rPr>
        <w:t>.</w:t>
      </w:r>
    </w:p>
    <w:p w:rsidR="006E5806" w:rsidRPr="00A66252" w:rsidRDefault="001321E7" w:rsidP="00A66252">
      <w:pPr>
        <w:pStyle w:val="ECHRHeading2"/>
        <w:rPr>
          <w:lang w:val="fr-FR"/>
        </w:rPr>
      </w:pPr>
      <w:r w:rsidRPr="00A66252">
        <w:rPr>
          <w:lang w:val="fr-FR"/>
        </w:rPr>
        <w:t>B</w:t>
      </w:r>
      <w:r w:rsidR="00276F84" w:rsidRPr="00A66252">
        <w:rPr>
          <w:lang w:val="fr-FR"/>
        </w:rPr>
        <w:t>.  </w:t>
      </w:r>
      <w:r w:rsidR="003C1EAF" w:rsidRPr="00A66252">
        <w:rPr>
          <w:lang w:val="fr-FR"/>
        </w:rPr>
        <w:t>La procédure</w:t>
      </w:r>
      <w:r w:rsidR="006E5806" w:rsidRPr="00A66252">
        <w:rPr>
          <w:lang w:val="fr-FR"/>
        </w:rPr>
        <w:t xml:space="preserve"> d</w:t>
      </w:r>
      <w:r w:rsidR="00A66252" w:rsidRPr="00A66252">
        <w:rPr>
          <w:lang w:val="fr-FR"/>
        </w:rPr>
        <w:t>’</w:t>
      </w:r>
      <w:r w:rsidR="006E5806" w:rsidRPr="00A66252">
        <w:rPr>
          <w:lang w:val="fr-FR"/>
        </w:rPr>
        <w:t>asile</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18</w:t>
      </w:r>
      <w:r w:rsidRPr="00A66252">
        <w:rPr>
          <w:lang w:val="fr-FR"/>
        </w:rPr>
        <w:fldChar w:fldCharType="end"/>
      </w:r>
      <w:r w:rsidRPr="00A66252">
        <w:rPr>
          <w:lang w:val="fr-FR"/>
        </w:rPr>
        <w:t>.  </w:t>
      </w:r>
      <w:r w:rsidR="006E5806" w:rsidRPr="00A66252">
        <w:rPr>
          <w:lang w:val="fr-FR"/>
        </w:rPr>
        <w:t>Le lendemain de leur arrivée, le 26 novembre 1998, le requérant et son épouse introduisirent une demande d</w:t>
      </w:r>
      <w:r w:rsidR="00A66252" w:rsidRPr="00A66252">
        <w:rPr>
          <w:lang w:val="fr-FR"/>
        </w:rPr>
        <w:t>’</w:t>
      </w:r>
      <w:r w:rsidR="006E5806" w:rsidRPr="00A66252">
        <w:rPr>
          <w:lang w:val="fr-FR"/>
        </w:rPr>
        <w:t>asile.</w:t>
      </w:r>
    </w:p>
    <w:p w:rsidR="006E5806" w:rsidRPr="00A66252" w:rsidRDefault="00D13DA4"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19</w:t>
      </w:r>
      <w:r w:rsidRPr="00A66252">
        <w:rPr>
          <w:lang w:val="fr-FR"/>
        </w:rPr>
        <w:fldChar w:fldCharType="end"/>
      </w:r>
      <w:r w:rsidRPr="00A66252">
        <w:rPr>
          <w:lang w:val="fr-FR"/>
        </w:rPr>
        <w:t>.  L</w:t>
      </w:r>
      <w:r w:rsidR="00A66252" w:rsidRPr="00A66252">
        <w:rPr>
          <w:lang w:val="fr-FR"/>
        </w:rPr>
        <w:t>’</w:t>
      </w:r>
      <w:r w:rsidRPr="00A66252">
        <w:rPr>
          <w:lang w:val="fr-FR"/>
        </w:rPr>
        <w:t>épouse du requérant ayant déclaré avoir transité par l</w:t>
      </w:r>
      <w:r w:rsidR="00A66252" w:rsidRPr="00A66252">
        <w:rPr>
          <w:lang w:val="fr-FR"/>
        </w:rPr>
        <w:t>’</w:t>
      </w:r>
      <w:r w:rsidRPr="00A66252">
        <w:rPr>
          <w:lang w:val="fr-FR"/>
        </w:rPr>
        <w:t>Allemagne, u</w:t>
      </w:r>
      <w:r w:rsidR="006E5806" w:rsidRPr="00A66252">
        <w:rPr>
          <w:lang w:val="fr-FR"/>
        </w:rPr>
        <w:t>ne demande de reprise en charge fut adressée aux autorités allemandes en application de la Convention de Dublin du 15 juin 1990 relative à la détermination de l</w:t>
      </w:r>
      <w:r w:rsidR="00A66252" w:rsidRPr="00A66252">
        <w:rPr>
          <w:lang w:val="fr-FR"/>
        </w:rPr>
        <w:t>’</w:t>
      </w:r>
      <w:r w:rsidR="006E5806" w:rsidRPr="00A66252">
        <w:rPr>
          <w:lang w:val="fr-FR"/>
        </w:rPr>
        <w:t>État responsable d</w:t>
      </w:r>
      <w:r w:rsidR="00A66252" w:rsidRPr="00A66252">
        <w:rPr>
          <w:lang w:val="fr-FR"/>
        </w:rPr>
        <w:t>’</w:t>
      </w:r>
      <w:r w:rsidR="006E5806" w:rsidRPr="00A66252">
        <w:rPr>
          <w:lang w:val="fr-FR"/>
        </w:rPr>
        <w:t>une demande d</w:t>
      </w:r>
      <w:r w:rsidR="00A66252" w:rsidRPr="00A66252">
        <w:rPr>
          <w:lang w:val="fr-FR"/>
        </w:rPr>
        <w:t>’</w:t>
      </w:r>
      <w:r w:rsidR="006E5806" w:rsidRPr="00A66252">
        <w:rPr>
          <w:lang w:val="fr-FR"/>
        </w:rPr>
        <w:t>asile présentée dans l</w:t>
      </w:r>
      <w:r w:rsidR="00A66252" w:rsidRPr="00A66252">
        <w:rPr>
          <w:lang w:val="fr-FR"/>
        </w:rPr>
        <w:t>’</w:t>
      </w:r>
      <w:r w:rsidR="006E5806" w:rsidRPr="00A66252">
        <w:rPr>
          <w:lang w:val="fr-FR"/>
        </w:rPr>
        <w:t>un des États membres</w:t>
      </w:r>
      <w:r w:rsidR="00144DC5" w:rsidRPr="00A66252">
        <w:rPr>
          <w:lang w:val="fr-FR"/>
        </w:rPr>
        <w:t xml:space="preserve"> des Communautés européennes (« </w:t>
      </w:r>
      <w:r w:rsidR="006E5806" w:rsidRPr="00A66252">
        <w:rPr>
          <w:lang w:val="fr-FR"/>
        </w:rPr>
        <w:t>Convention Dublin</w:t>
      </w:r>
      <w:r w:rsidR="00144DC5" w:rsidRPr="00A66252">
        <w:rPr>
          <w:lang w:val="fr-FR"/>
        </w:rPr>
        <w:t> </w:t>
      </w:r>
      <w:r w:rsidR="006E5806" w:rsidRPr="00A66252">
        <w:rPr>
          <w:lang w:val="fr-FR"/>
        </w:rPr>
        <w:t>»).</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20</w:t>
      </w:r>
      <w:r w:rsidRPr="00A66252">
        <w:rPr>
          <w:lang w:val="fr-FR"/>
        </w:rPr>
        <w:fldChar w:fldCharType="end"/>
      </w:r>
      <w:r w:rsidRPr="00A66252">
        <w:rPr>
          <w:lang w:val="fr-FR"/>
        </w:rPr>
        <w:t>.  </w:t>
      </w:r>
      <w:r w:rsidR="00144DC5" w:rsidRPr="00A66252">
        <w:rPr>
          <w:rFonts w:cstheme="minorHAnsi"/>
          <w:lang w:val="fr-FR"/>
        </w:rPr>
        <w:t>À</w:t>
      </w:r>
      <w:r w:rsidR="00F76A4A" w:rsidRPr="00A66252">
        <w:rPr>
          <w:lang w:val="fr-FR"/>
        </w:rPr>
        <w:t xml:space="preserve"> la suite du</w:t>
      </w:r>
      <w:r w:rsidR="006E5806" w:rsidRPr="00A66252">
        <w:rPr>
          <w:lang w:val="fr-FR"/>
        </w:rPr>
        <w:t xml:space="preserve"> refus des autorités allemandes, il apparut que le requérant et sa famille étaient en possession d</w:t>
      </w:r>
      <w:r w:rsidR="00A66252" w:rsidRPr="00A66252">
        <w:rPr>
          <w:lang w:val="fr-FR"/>
        </w:rPr>
        <w:t>’</w:t>
      </w:r>
      <w:r w:rsidR="006E5806" w:rsidRPr="00A66252">
        <w:rPr>
          <w:lang w:val="fr-FR"/>
        </w:rPr>
        <w:t>un visa Schengen délivré par les autorités italiennes de sorte qu</w:t>
      </w:r>
      <w:r w:rsidR="00A66252" w:rsidRPr="00A66252">
        <w:rPr>
          <w:lang w:val="fr-FR"/>
        </w:rPr>
        <w:t>’</w:t>
      </w:r>
      <w:r w:rsidR="006E5806" w:rsidRPr="00A66252">
        <w:rPr>
          <w:lang w:val="fr-FR"/>
        </w:rPr>
        <w:t>une demande de prise en charge fut adressée aux autorités italiennes. Celle-ci fut acceptée le 4 juin 1999.</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w:t>
      </w:r>
      <w:r w:rsidRPr="00A66252">
        <w:rPr>
          <w:lang w:val="fr-FR"/>
        </w:rPr>
        <w:fldChar w:fldCharType="end"/>
      </w:r>
      <w:r w:rsidRPr="00A66252">
        <w:rPr>
          <w:lang w:val="fr-FR"/>
        </w:rPr>
        <w:t>.  </w:t>
      </w:r>
      <w:r w:rsidR="006E5806" w:rsidRPr="00A66252">
        <w:rPr>
          <w:lang w:val="fr-FR"/>
        </w:rPr>
        <w:t>Le 22 septembre 1999, le requérant introduisit une seconde demande d</w:t>
      </w:r>
      <w:r w:rsidR="00A66252" w:rsidRPr="00A66252">
        <w:rPr>
          <w:lang w:val="fr-FR"/>
        </w:rPr>
        <w:t>’</w:t>
      </w:r>
      <w:r w:rsidR="006E5806" w:rsidRPr="00A66252">
        <w:rPr>
          <w:lang w:val="fr-FR"/>
        </w:rPr>
        <w:t>asile, sous une fausse identité. Elle fut immédiatement rejetée par suite de la confrontation des empreintes digitales.</w:t>
      </w:r>
    </w:p>
    <w:p w:rsidR="006E5806" w:rsidRPr="00A66252" w:rsidRDefault="00962208"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22</w:t>
      </w:r>
      <w:r w:rsidRPr="00A66252">
        <w:rPr>
          <w:lang w:val="fr-FR"/>
        </w:rPr>
        <w:fldChar w:fldCharType="end"/>
      </w:r>
      <w:r w:rsidRPr="00A66252">
        <w:rPr>
          <w:lang w:val="fr-FR"/>
        </w:rPr>
        <w:t>.  </w:t>
      </w:r>
      <w:r w:rsidR="006E5806" w:rsidRPr="00A66252">
        <w:rPr>
          <w:lang w:val="fr-FR"/>
        </w:rPr>
        <w:t>Le 23 octobre 2000, l</w:t>
      </w:r>
      <w:r w:rsidR="00A66252" w:rsidRPr="00A66252">
        <w:rPr>
          <w:lang w:val="fr-FR"/>
        </w:rPr>
        <w:t>’</w:t>
      </w:r>
      <w:r w:rsidR="006E5806" w:rsidRPr="00A66252">
        <w:rPr>
          <w:lang w:val="fr-FR"/>
        </w:rPr>
        <w:t>Office des étrangers («</w:t>
      </w:r>
      <w:r w:rsidR="00144DC5" w:rsidRPr="00A66252">
        <w:rPr>
          <w:lang w:val="fr-FR"/>
        </w:rPr>
        <w:t> </w:t>
      </w:r>
      <w:r w:rsidR="006E5806" w:rsidRPr="00A66252">
        <w:rPr>
          <w:lang w:val="fr-FR"/>
        </w:rPr>
        <w:t>OE</w:t>
      </w:r>
      <w:r w:rsidR="00144DC5" w:rsidRPr="00A66252">
        <w:rPr>
          <w:lang w:val="fr-FR"/>
        </w:rPr>
        <w:t> </w:t>
      </w:r>
      <w:r w:rsidR="006E5806" w:rsidRPr="00A66252">
        <w:rPr>
          <w:lang w:val="fr-FR"/>
        </w:rPr>
        <w:t>») informa le conseil du requérant que la demande d</w:t>
      </w:r>
      <w:r w:rsidR="00A66252" w:rsidRPr="00A66252">
        <w:rPr>
          <w:lang w:val="fr-FR"/>
        </w:rPr>
        <w:t>’</w:t>
      </w:r>
      <w:r w:rsidR="006E5806" w:rsidRPr="00A66252">
        <w:rPr>
          <w:lang w:val="fr-FR"/>
        </w:rPr>
        <w:t>asile</w:t>
      </w:r>
      <w:r w:rsidR="00003D2C" w:rsidRPr="00A66252">
        <w:rPr>
          <w:lang w:val="fr-FR"/>
        </w:rPr>
        <w:t>,</w:t>
      </w:r>
      <w:r w:rsidR="00B32D6C" w:rsidRPr="00A66252">
        <w:rPr>
          <w:lang w:val="fr-FR"/>
        </w:rPr>
        <w:t xml:space="preserve"> qui avait été déposée le 26 </w:t>
      </w:r>
      <w:r w:rsidR="006E5806" w:rsidRPr="00A66252">
        <w:rPr>
          <w:lang w:val="fr-FR"/>
        </w:rPr>
        <w:t>novembre 1998</w:t>
      </w:r>
      <w:r w:rsidR="00003D2C" w:rsidRPr="00A66252">
        <w:rPr>
          <w:lang w:val="fr-FR"/>
        </w:rPr>
        <w:t>,</w:t>
      </w:r>
      <w:r w:rsidR="006E5806" w:rsidRPr="00A66252">
        <w:rPr>
          <w:lang w:val="fr-FR"/>
        </w:rPr>
        <w:t xml:space="preserve"> avait été clôturée négativement le 11 juin 1999.</w:t>
      </w:r>
    </w:p>
    <w:p w:rsidR="001B27E3" w:rsidRPr="00A66252" w:rsidRDefault="00276F84" w:rsidP="00A66252">
      <w:pPr>
        <w:pStyle w:val="ECHRHeading2"/>
        <w:rPr>
          <w:lang w:val="fr-FR"/>
        </w:rPr>
      </w:pPr>
      <w:r w:rsidRPr="00A66252">
        <w:rPr>
          <w:lang w:val="fr-FR"/>
        </w:rPr>
        <w:t>C.  </w:t>
      </w:r>
      <w:r w:rsidR="001B27E3" w:rsidRPr="00A66252">
        <w:rPr>
          <w:lang w:val="fr-FR"/>
        </w:rPr>
        <w:t>Les demandes d</w:t>
      </w:r>
      <w:r w:rsidR="00A66252" w:rsidRPr="00A66252">
        <w:rPr>
          <w:lang w:val="fr-FR"/>
        </w:rPr>
        <w:t>’</w:t>
      </w:r>
      <w:r w:rsidR="001B27E3" w:rsidRPr="00A66252">
        <w:rPr>
          <w:lang w:val="fr-FR"/>
        </w:rPr>
        <w:t>autorisation de séjour pour raisons exceptionnelles</w:t>
      </w:r>
    </w:p>
    <w:p w:rsidR="001B27E3" w:rsidRPr="00A66252" w:rsidRDefault="00276F84" w:rsidP="00A66252">
      <w:pPr>
        <w:pStyle w:val="ECHRHeading3"/>
        <w:rPr>
          <w:lang w:val="fr-FR"/>
        </w:rPr>
      </w:pPr>
      <w:r w:rsidRPr="00A66252">
        <w:rPr>
          <w:lang w:val="fr-FR"/>
        </w:rPr>
        <w:t>1.  </w:t>
      </w:r>
      <w:r w:rsidR="001B27E3" w:rsidRPr="00A66252">
        <w:rPr>
          <w:lang w:val="fr-FR"/>
        </w:rPr>
        <w:t>Première demande de régularisation pour raisons exceptionnelles</w:t>
      </w:r>
    </w:p>
    <w:p w:rsidR="001B27E3" w:rsidRPr="00A66252" w:rsidRDefault="001B27E3" w:rsidP="00A66252">
      <w:pPr>
        <w:pStyle w:val="ECHRPara"/>
        <w:rPr>
          <w:b/>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w:t>
      </w:r>
      <w:r w:rsidRPr="00A66252">
        <w:rPr>
          <w:lang w:val="fr-FR"/>
        </w:rPr>
        <w:fldChar w:fldCharType="end"/>
      </w:r>
      <w:r w:rsidRPr="00A66252">
        <w:rPr>
          <w:lang w:val="fr-FR"/>
        </w:rPr>
        <w:t>.  Le 20 mars 2000, le requérant introduisit une première demande de régularisation de plus de trois mois sur la base de l</w:t>
      </w:r>
      <w:r w:rsidR="00A66252" w:rsidRPr="00A66252">
        <w:rPr>
          <w:lang w:val="fr-FR"/>
        </w:rPr>
        <w:t>’</w:t>
      </w:r>
      <w:r w:rsidRPr="00A66252">
        <w:rPr>
          <w:lang w:val="fr-FR"/>
        </w:rPr>
        <w:t>article 9 alinéa 3 (</w:t>
      </w:r>
      <w:r w:rsidR="005F6576" w:rsidRPr="00A66252">
        <w:rPr>
          <w:lang w:val="fr-FR"/>
        </w:rPr>
        <w:t>depuis le 1</w:t>
      </w:r>
      <w:r w:rsidR="005F6576" w:rsidRPr="00A66252">
        <w:rPr>
          <w:vertAlign w:val="superscript"/>
          <w:lang w:val="fr-FR"/>
        </w:rPr>
        <w:t>er</w:t>
      </w:r>
      <w:r w:rsidR="005F6576" w:rsidRPr="00A66252">
        <w:rPr>
          <w:lang w:val="fr-FR"/>
        </w:rPr>
        <w:t xml:space="preserve"> juin 2007, l</w:t>
      </w:r>
      <w:r w:rsidR="00A66252" w:rsidRPr="00A66252">
        <w:rPr>
          <w:lang w:val="fr-FR"/>
        </w:rPr>
        <w:t>’</w:t>
      </w:r>
      <w:r w:rsidR="005F6576" w:rsidRPr="00A66252">
        <w:rPr>
          <w:lang w:val="fr-FR"/>
        </w:rPr>
        <w:t>article 9</w:t>
      </w:r>
      <w:r w:rsidR="005F6576" w:rsidRPr="00A66252">
        <w:rPr>
          <w:i/>
          <w:lang w:val="fr-FR"/>
        </w:rPr>
        <w:t>bis</w:t>
      </w:r>
      <w:r w:rsidRPr="00A66252">
        <w:rPr>
          <w:lang w:val="fr-FR"/>
        </w:rPr>
        <w:t>) de la loi du 15 décembre 1980 sur l</w:t>
      </w:r>
      <w:r w:rsidR="00A66252" w:rsidRPr="00A66252">
        <w:rPr>
          <w:lang w:val="fr-FR"/>
        </w:rPr>
        <w:t>’</w:t>
      </w:r>
      <w:r w:rsidRPr="00A66252">
        <w:rPr>
          <w:lang w:val="fr-FR"/>
        </w:rPr>
        <w:t>accès au territoire, le séjour, l</w:t>
      </w:r>
      <w:r w:rsidR="00A66252" w:rsidRPr="00A66252">
        <w:rPr>
          <w:lang w:val="fr-FR"/>
        </w:rPr>
        <w:t>’</w:t>
      </w:r>
      <w:r w:rsidRPr="00A66252">
        <w:rPr>
          <w:lang w:val="fr-FR"/>
        </w:rPr>
        <w:t>établissement et l</w:t>
      </w:r>
      <w:r w:rsidR="00A66252" w:rsidRPr="00A66252">
        <w:rPr>
          <w:lang w:val="fr-FR"/>
        </w:rPr>
        <w:t>’</w:t>
      </w:r>
      <w:r w:rsidRPr="00A66252">
        <w:rPr>
          <w:lang w:val="fr-FR"/>
        </w:rPr>
        <w:t>éloignement des étrangers («</w:t>
      </w:r>
      <w:r w:rsidR="00144DC5" w:rsidRPr="00A66252">
        <w:rPr>
          <w:lang w:val="fr-FR"/>
        </w:rPr>
        <w:t> </w:t>
      </w:r>
      <w:r w:rsidRPr="00A66252">
        <w:rPr>
          <w:lang w:val="fr-FR"/>
        </w:rPr>
        <w:t xml:space="preserve">loi sur les étrangers »). </w:t>
      </w:r>
      <w:r w:rsidR="00144DC5" w:rsidRPr="00A66252">
        <w:rPr>
          <w:rFonts w:cstheme="minorHAnsi"/>
          <w:lang w:val="fr-FR"/>
        </w:rPr>
        <w:t>À</w:t>
      </w:r>
      <w:r w:rsidRPr="00A66252">
        <w:rPr>
          <w:lang w:val="fr-FR"/>
        </w:rPr>
        <w:t xml:space="preserve"> l</w:t>
      </w:r>
      <w:r w:rsidR="00A66252" w:rsidRPr="00A66252">
        <w:rPr>
          <w:lang w:val="fr-FR"/>
        </w:rPr>
        <w:t>’</w:t>
      </w:r>
      <w:r w:rsidRPr="00A66252">
        <w:rPr>
          <w:lang w:val="fr-FR"/>
        </w:rPr>
        <w:t>appui de cette demande, le requérant indiquait qu</w:t>
      </w:r>
      <w:r w:rsidR="00A66252" w:rsidRPr="00A66252">
        <w:rPr>
          <w:lang w:val="fr-FR"/>
        </w:rPr>
        <w:t>’</w:t>
      </w:r>
      <w:r w:rsidRPr="00A66252">
        <w:rPr>
          <w:lang w:val="fr-FR"/>
        </w:rPr>
        <w:t xml:space="preserve">il avait avec son épouse une fille née </w:t>
      </w:r>
      <w:r w:rsidR="00F56B88" w:rsidRPr="00A66252">
        <w:rPr>
          <w:lang w:val="fr-FR"/>
        </w:rPr>
        <w:t xml:space="preserve">en Géorgie avant leur arrivée en Belgique et une fille née en Belgique </w:t>
      </w:r>
      <w:r w:rsidRPr="00A66252">
        <w:rPr>
          <w:lang w:val="fr-FR"/>
        </w:rPr>
        <w:t>en 1999</w:t>
      </w:r>
      <w:r w:rsidR="00F56B88" w:rsidRPr="00A66252">
        <w:rPr>
          <w:lang w:val="fr-FR"/>
        </w:rPr>
        <w:t>.</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24</w:t>
      </w:r>
      <w:r w:rsidRPr="00A66252">
        <w:rPr>
          <w:lang w:val="fr-FR"/>
        </w:rPr>
        <w:fldChar w:fldCharType="end"/>
      </w:r>
      <w:r w:rsidRPr="00A66252">
        <w:rPr>
          <w:lang w:val="fr-FR"/>
        </w:rPr>
        <w:t>.  Le 30 mars 2004, l</w:t>
      </w:r>
      <w:r w:rsidR="00A66252" w:rsidRPr="00A66252">
        <w:rPr>
          <w:lang w:val="fr-FR"/>
        </w:rPr>
        <w:t>’</w:t>
      </w:r>
      <w:r w:rsidRPr="00A66252">
        <w:rPr>
          <w:lang w:val="fr-FR"/>
        </w:rPr>
        <w:t xml:space="preserve">OE déclara la demande sans objet, le requérant ayant quitté le territoire </w:t>
      </w:r>
      <w:r w:rsidR="00F76A4A" w:rsidRPr="00A66252">
        <w:rPr>
          <w:lang w:val="fr-FR"/>
        </w:rPr>
        <w:t>et ayant été</w:t>
      </w:r>
      <w:r w:rsidRPr="00A66252">
        <w:rPr>
          <w:lang w:val="fr-FR"/>
        </w:rPr>
        <w:t xml:space="preserve"> intercepté en Allemagne, et, en tout état </w:t>
      </w:r>
      <w:r w:rsidRPr="00A66252">
        <w:rPr>
          <w:lang w:val="fr-FR"/>
        </w:rPr>
        <w:lastRenderedPageBreak/>
        <w:t>de cause, non fondée eu égard à la fin des soins médicaux po</w:t>
      </w:r>
      <w:r w:rsidR="001A3E0B" w:rsidRPr="00A66252">
        <w:rPr>
          <w:lang w:val="fr-FR"/>
        </w:rPr>
        <w:t>ur tuberculose (voir paragraphe</w:t>
      </w:r>
      <w:r w:rsidRPr="00A66252">
        <w:rPr>
          <w:lang w:val="fr-FR"/>
        </w:rPr>
        <w:t xml:space="preserve"> </w:t>
      </w:r>
      <w:r w:rsidR="001A3E0B" w:rsidRPr="00A66252">
        <w:rPr>
          <w:lang w:val="fr-FR"/>
        </w:rPr>
        <w:fldChar w:fldCharType="begin"/>
      </w:r>
      <w:r w:rsidR="001A3E0B" w:rsidRPr="00A66252">
        <w:rPr>
          <w:lang w:val="fr-FR"/>
        </w:rPr>
        <w:instrText xml:space="preserve"> REF Tuberculose \h </w:instrText>
      </w:r>
      <w:r w:rsidR="0080142D" w:rsidRPr="00A66252">
        <w:rPr>
          <w:lang w:val="fr-FR"/>
        </w:rPr>
        <w:instrText xml:space="preserve"> \* MERGEFORMAT </w:instrText>
      </w:r>
      <w:r w:rsidR="001A3E0B" w:rsidRPr="00A66252">
        <w:rPr>
          <w:lang w:val="fr-FR"/>
        </w:rPr>
      </w:r>
      <w:r w:rsidR="001A3E0B" w:rsidRPr="00A66252">
        <w:rPr>
          <w:lang w:val="fr-FR"/>
        </w:rPr>
        <w:fldChar w:fldCharType="separate"/>
      </w:r>
      <w:r w:rsidR="00A66252" w:rsidRPr="00A66252">
        <w:rPr>
          <w:noProof/>
          <w:lang w:val="fr-FR"/>
        </w:rPr>
        <w:t>49</w:t>
      </w:r>
      <w:r w:rsidR="001A3E0B" w:rsidRPr="00A66252">
        <w:rPr>
          <w:lang w:val="fr-FR"/>
        </w:rPr>
        <w:fldChar w:fldCharType="end"/>
      </w:r>
      <w:r w:rsidRPr="00A66252">
        <w:rPr>
          <w:lang w:val="fr-FR"/>
        </w:rPr>
        <w:t>, ci-dessous). Il faisait également mention de l</w:t>
      </w:r>
      <w:r w:rsidR="00A66252" w:rsidRPr="00A66252">
        <w:rPr>
          <w:lang w:val="fr-FR"/>
        </w:rPr>
        <w:t>’</w:t>
      </w:r>
      <w:r w:rsidRPr="00A66252">
        <w:rPr>
          <w:lang w:val="fr-FR"/>
        </w:rPr>
        <w:t>absence d</w:t>
      </w:r>
      <w:r w:rsidR="00A66252" w:rsidRPr="00A66252">
        <w:rPr>
          <w:lang w:val="fr-FR"/>
        </w:rPr>
        <w:t>’</w:t>
      </w:r>
      <w:r w:rsidRPr="00A66252">
        <w:rPr>
          <w:lang w:val="fr-FR"/>
        </w:rPr>
        <w:t>intégration du requérant en Belgique et des nombreuses atteintes à l</w:t>
      </w:r>
      <w:r w:rsidR="00A66252" w:rsidRPr="00A66252">
        <w:rPr>
          <w:lang w:val="fr-FR"/>
        </w:rPr>
        <w:t>’</w:t>
      </w:r>
      <w:r w:rsidRPr="00A66252">
        <w:rPr>
          <w:lang w:val="fr-FR"/>
        </w:rPr>
        <w:t>ordre public dont il s</w:t>
      </w:r>
      <w:r w:rsidR="00A66252" w:rsidRPr="00A66252">
        <w:rPr>
          <w:lang w:val="fr-FR"/>
        </w:rPr>
        <w:t>’</w:t>
      </w:r>
      <w:r w:rsidRPr="00A66252">
        <w:rPr>
          <w:lang w:val="fr-FR"/>
        </w:rPr>
        <w:t>était rendu coupable.</w:t>
      </w:r>
    </w:p>
    <w:p w:rsidR="001B27E3" w:rsidRPr="00A66252" w:rsidRDefault="00276F84" w:rsidP="00A66252">
      <w:pPr>
        <w:pStyle w:val="ECHRHeading3"/>
        <w:rPr>
          <w:lang w:val="fr-FR"/>
        </w:rPr>
      </w:pPr>
      <w:r w:rsidRPr="00A66252">
        <w:rPr>
          <w:lang w:val="fr-FR"/>
        </w:rPr>
        <w:t>2.  </w:t>
      </w:r>
      <w:r w:rsidR="001B27E3" w:rsidRPr="00A66252">
        <w:rPr>
          <w:lang w:val="fr-FR"/>
        </w:rPr>
        <w:t>Deuxième demande de régularisation pour raisons exceptionnelles</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25</w:t>
      </w:r>
      <w:r w:rsidRPr="00A66252">
        <w:rPr>
          <w:lang w:val="fr-FR"/>
        </w:rPr>
        <w:fldChar w:fldCharType="end"/>
      </w:r>
      <w:r w:rsidRPr="00A66252">
        <w:rPr>
          <w:lang w:val="fr-FR"/>
        </w:rPr>
        <w:t>.  Le 28 avril 2004, le requérant introduisit une deuxième demande de régularisation de séjour sur la base de l</w:t>
      </w:r>
      <w:r w:rsidR="00A66252" w:rsidRPr="00A66252">
        <w:rPr>
          <w:lang w:val="fr-FR"/>
        </w:rPr>
        <w:t>’</w:t>
      </w:r>
      <w:r w:rsidRPr="00A66252">
        <w:rPr>
          <w:lang w:val="fr-FR"/>
        </w:rPr>
        <w:t xml:space="preserve">article 9 alinéa 3 de la loi sur les étrangers. </w:t>
      </w:r>
      <w:r w:rsidR="00D13DA4" w:rsidRPr="00A66252">
        <w:rPr>
          <w:lang w:val="fr-FR"/>
        </w:rPr>
        <w:t>Il</w:t>
      </w:r>
      <w:r w:rsidRPr="00A66252">
        <w:rPr>
          <w:lang w:val="fr-FR"/>
        </w:rPr>
        <w:t xml:space="preserve"> invoquait, comme circonstances exceptionnelles, la durée de son séjour et son intégration sociale en Belgique, le risque qu</w:t>
      </w:r>
      <w:r w:rsidR="00A66252" w:rsidRPr="00A66252">
        <w:rPr>
          <w:lang w:val="fr-FR"/>
        </w:rPr>
        <w:t>’</w:t>
      </w:r>
      <w:r w:rsidRPr="00A66252">
        <w:rPr>
          <w:lang w:val="fr-FR"/>
        </w:rPr>
        <w:t>entraînerait un retour en Géorgie sur la scolarité de ses enfants, le fait qu</w:t>
      </w:r>
      <w:r w:rsidR="00A66252" w:rsidRPr="00A66252">
        <w:rPr>
          <w:lang w:val="fr-FR"/>
        </w:rPr>
        <w:t>’</w:t>
      </w:r>
      <w:r w:rsidRPr="00A66252">
        <w:rPr>
          <w:lang w:val="fr-FR"/>
        </w:rPr>
        <w:t>il ait été victime de persécution ainsi que son état de santé.</w:t>
      </w:r>
    </w:p>
    <w:bookmarkStart w:id="2" w:name="OE9BIS1"/>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26</w:t>
      </w:r>
      <w:r w:rsidRPr="00A66252">
        <w:rPr>
          <w:lang w:val="fr-FR"/>
        </w:rPr>
        <w:fldChar w:fldCharType="end"/>
      </w:r>
      <w:bookmarkEnd w:id="2"/>
      <w:r w:rsidRPr="00A66252">
        <w:rPr>
          <w:lang w:val="fr-FR"/>
        </w:rPr>
        <w:t>.  L</w:t>
      </w:r>
      <w:r w:rsidR="00A66252" w:rsidRPr="00A66252">
        <w:rPr>
          <w:lang w:val="fr-FR"/>
        </w:rPr>
        <w:t>’</w:t>
      </w:r>
      <w:r w:rsidRPr="00A66252">
        <w:rPr>
          <w:lang w:val="fr-FR"/>
        </w:rPr>
        <w:t xml:space="preserve">OE </w:t>
      </w:r>
      <w:r w:rsidR="004F7C05" w:rsidRPr="00A66252">
        <w:rPr>
          <w:lang w:val="fr-FR"/>
        </w:rPr>
        <w:t>déclara irrecevable</w:t>
      </w:r>
      <w:r w:rsidRPr="00A66252">
        <w:rPr>
          <w:lang w:val="fr-FR"/>
        </w:rPr>
        <w:t xml:space="preserve"> la demande le 5 avril 2007 au motif que les éléments avancés ne constituaient pas des circonstances exceptionnelles au sens de l</w:t>
      </w:r>
      <w:r w:rsidR="00A66252" w:rsidRPr="00A66252">
        <w:rPr>
          <w:lang w:val="fr-FR"/>
        </w:rPr>
        <w:t>’</w:t>
      </w:r>
      <w:r w:rsidRPr="00A66252">
        <w:rPr>
          <w:lang w:val="fr-FR"/>
        </w:rPr>
        <w:t>article 9 alinéa 3 de la loi justifiant l</w:t>
      </w:r>
      <w:r w:rsidR="00A66252" w:rsidRPr="00A66252">
        <w:rPr>
          <w:lang w:val="fr-FR"/>
        </w:rPr>
        <w:t>’</w:t>
      </w:r>
      <w:r w:rsidRPr="00A66252">
        <w:rPr>
          <w:lang w:val="fr-FR"/>
        </w:rPr>
        <w:t>introduction de telles demandes en Belgique et non, comme il est de règle, auprès du poste diplomatique ou consulaire compétent. L</w:t>
      </w:r>
      <w:r w:rsidR="00A66252" w:rsidRPr="00A66252">
        <w:rPr>
          <w:lang w:val="fr-FR"/>
        </w:rPr>
        <w:t>’</w:t>
      </w:r>
      <w:r w:rsidRPr="00A66252">
        <w:rPr>
          <w:lang w:val="fr-FR"/>
        </w:rPr>
        <w:t>OE constata que le séjour du requérant se limitait aux nécessités de la procédure d</w:t>
      </w:r>
      <w:r w:rsidR="00A66252" w:rsidRPr="00A66252">
        <w:rPr>
          <w:lang w:val="fr-FR"/>
        </w:rPr>
        <w:t>’</w:t>
      </w:r>
      <w:r w:rsidRPr="00A66252">
        <w:rPr>
          <w:lang w:val="fr-FR"/>
        </w:rPr>
        <w:t>asile qui avait été définitivement clôturée. La décision était en outre motivée par l</w:t>
      </w:r>
      <w:r w:rsidR="00A66252" w:rsidRPr="00A66252">
        <w:rPr>
          <w:lang w:val="fr-FR"/>
        </w:rPr>
        <w:t>’</w:t>
      </w:r>
      <w:r w:rsidRPr="00A66252">
        <w:rPr>
          <w:lang w:val="fr-FR"/>
        </w:rPr>
        <w:t>absence de nécessité d</w:t>
      </w:r>
      <w:r w:rsidR="00A66252" w:rsidRPr="00A66252">
        <w:rPr>
          <w:lang w:val="fr-FR"/>
        </w:rPr>
        <w:t>’</w:t>
      </w:r>
      <w:r w:rsidRPr="00A66252">
        <w:rPr>
          <w:lang w:val="fr-FR"/>
        </w:rPr>
        <w:t>un suivi médical, les circonstances précaires et illégales de son séjour, l</w:t>
      </w:r>
      <w:r w:rsidR="00A66252" w:rsidRPr="00A66252">
        <w:rPr>
          <w:lang w:val="fr-FR"/>
        </w:rPr>
        <w:t>’</w:t>
      </w:r>
      <w:r w:rsidRPr="00A66252">
        <w:rPr>
          <w:lang w:val="fr-FR"/>
        </w:rPr>
        <w:t>absence de risque de persécution en Géorgie et la possibilité pour les enfants de poursuivre leur scolarité en Géorgie.</w:t>
      </w:r>
    </w:p>
    <w:p w:rsidR="00764D02" w:rsidRPr="00A66252" w:rsidRDefault="001B27E3" w:rsidP="00A66252">
      <w:pPr>
        <w:pStyle w:val="ECHRPara"/>
        <w:rPr>
          <w:i/>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27</w:t>
      </w:r>
      <w:r w:rsidRPr="00A66252">
        <w:rPr>
          <w:lang w:val="fr-FR"/>
        </w:rPr>
        <w:fldChar w:fldCharType="end"/>
      </w:r>
      <w:r w:rsidRPr="00A66252">
        <w:rPr>
          <w:lang w:val="fr-FR"/>
        </w:rPr>
        <w:t xml:space="preserve">.  Par un arrêt du 29 février 2008, le </w:t>
      </w:r>
      <w:r w:rsidR="001148EB" w:rsidRPr="00A66252">
        <w:rPr>
          <w:lang w:val="fr-FR"/>
        </w:rPr>
        <w:t>Conseil du contentieux des étrangers</w:t>
      </w:r>
      <w:r w:rsidRPr="00A66252">
        <w:rPr>
          <w:lang w:val="fr-FR"/>
        </w:rPr>
        <w:t xml:space="preserve"> </w:t>
      </w:r>
      <w:r w:rsidR="001148EB" w:rsidRPr="00A66252">
        <w:rPr>
          <w:lang w:val="fr-FR"/>
        </w:rPr>
        <w:t xml:space="preserve">(« CCE ») </w:t>
      </w:r>
      <w:r w:rsidRPr="00A66252">
        <w:rPr>
          <w:lang w:val="fr-FR"/>
        </w:rPr>
        <w:t>rejeta le recours en annulation introduit contre la décision de l</w:t>
      </w:r>
      <w:r w:rsidR="00A66252" w:rsidRPr="00A66252">
        <w:rPr>
          <w:lang w:val="fr-FR"/>
        </w:rPr>
        <w:t>’</w:t>
      </w:r>
      <w:r w:rsidRPr="00A66252">
        <w:rPr>
          <w:lang w:val="fr-FR"/>
        </w:rPr>
        <w:t>OE. Il constata notamment que la décision attaquée n</w:t>
      </w:r>
      <w:r w:rsidR="00A66252" w:rsidRPr="00A66252">
        <w:rPr>
          <w:lang w:val="fr-FR"/>
        </w:rPr>
        <w:t>’</w:t>
      </w:r>
      <w:r w:rsidRPr="00A66252">
        <w:rPr>
          <w:lang w:val="fr-FR"/>
        </w:rPr>
        <w:t>étant pas assortie comme telle d</w:t>
      </w:r>
      <w:r w:rsidR="00A66252" w:rsidRPr="00A66252">
        <w:rPr>
          <w:lang w:val="fr-FR"/>
        </w:rPr>
        <w:t>’</w:t>
      </w:r>
      <w:r w:rsidRPr="00A66252">
        <w:rPr>
          <w:lang w:val="fr-FR"/>
        </w:rPr>
        <w:t>une mesure d</w:t>
      </w:r>
      <w:r w:rsidR="00A66252" w:rsidRPr="00A66252">
        <w:rPr>
          <w:lang w:val="fr-FR"/>
        </w:rPr>
        <w:t>’</w:t>
      </w:r>
      <w:r w:rsidRPr="00A66252">
        <w:rPr>
          <w:lang w:val="fr-FR"/>
        </w:rPr>
        <w:t>éloignement du territoire, elle ne pouvait engendrer de risque de violation de l</w:t>
      </w:r>
      <w:r w:rsidR="00A66252" w:rsidRPr="00A66252">
        <w:rPr>
          <w:lang w:val="fr-FR"/>
        </w:rPr>
        <w:t>’</w:t>
      </w:r>
      <w:r w:rsidRPr="00A66252">
        <w:rPr>
          <w:lang w:val="fr-FR"/>
        </w:rPr>
        <w:t>article 3 de la Convention.</w:t>
      </w:r>
    </w:p>
    <w:p w:rsidR="001B27E3" w:rsidRPr="00A66252" w:rsidRDefault="001B27E3" w:rsidP="00A66252">
      <w:pPr>
        <w:pStyle w:val="ECHRHeading3"/>
        <w:rPr>
          <w:lang w:val="fr-FR"/>
        </w:rPr>
      </w:pPr>
      <w:r w:rsidRPr="00A66252">
        <w:rPr>
          <w:lang w:val="fr-FR"/>
        </w:rPr>
        <w:t>3</w:t>
      </w:r>
      <w:r w:rsidR="00276F84" w:rsidRPr="00A66252">
        <w:rPr>
          <w:lang w:val="fr-FR"/>
        </w:rPr>
        <w:t>.  </w:t>
      </w:r>
      <w:r w:rsidRPr="00A66252">
        <w:rPr>
          <w:lang w:val="fr-FR"/>
        </w:rPr>
        <w:t>Troisième demande de régularisation pour raisons exceptionnelles</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28</w:t>
      </w:r>
      <w:r w:rsidRPr="00A66252">
        <w:rPr>
          <w:lang w:val="fr-FR"/>
        </w:rPr>
        <w:fldChar w:fldCharType="end"/>
      </w:r>
      <w:r w:rsidRPr="00A66252">
        <w:rPr>
          <w:lang w:val="fr-FR"/>
        </w:rPr>
        <w:t>.  Le 10 septembre 2007, invoquant les mêmes raisons que sous l</w:t>
      </w:r>
      <w:r w:rsidR="00A66252" w:rsidRPr="00A66252">
        <w:rPr>
          <w:lang w:val="fr-FR"/>
        </w:rPr>
        <w:t>’</w:t>
      </w:r>
      <w:r w:rsidRPr="00A66252">
        <w:rPr>
          <w:lang w:val="fr-FR"/>
        </w:rPr>
        <w:t>angle de l</w:t>
      </w:r>
      <w:r w:rsidR="00A66252" w:rsidRPr="00A66252">
        <w:rPr>
          <w:lang w:val="fr-FR"/>
        </w:rPr>
        <w:t>’</w:t>
      </w:r>
      <w:r w:rsidRPr="00A66252">
        <w:rPr>
          <w:lang w:val="fr-FR"/>
        </w:rPr>
        <w:t>article 9</w:t>
      </w:r>
      <w:r w:rsidRPr="00A66252">
        <w:rPr>
          <w:i/>
          <w:lang w:val="fr-FR"/>
        </w:rPr>
        <w:t>ter</w:t>
      </w:r>
      <w:r w:rsidRPr="00A66252">
        <w:rPr>
          <w:lang w:val="fr-FR"/>
        </w:rPr>
        <w:t xml:space="preserve"> de la loi sur les étrangers (voir paragraphe </w:t>
      </w:r>
      <w:r w:rsidR="001A3E0B" w:rsidRPr="00A66252">
        <w:rPr>
          <w:lang w:val="fr-FR"/>
        </w:rPr>
        <w:fldChar w:fldCharType="begin"/>
      </w:r>
      <w:r w:rsidR="001A3E0B" w:rsidRPr="00A66252">
        <w:rPr>
          <w:lang w:val="fr-FR"/>
        </w:rPr>
        <w:instrText xml:space="preserve"> REF Motifs9ter \h </w:instrText>
      </w:r>
      <w:r w:rsidR="0080142D" w:rsidRPr="00A66252">
        <w:rPr>
          <w:lang w:val="fr-FR"/>
        </w:rPr>
        <w:instrText xml:space="preserve"> \* MERGEFORMAT </w:instrText>
      </w:r>
      <w:r w:rsidR="001A3E0B" w:rsidRPr="00A66252">
        <w:rPr>
          <w:lang w:val="fr-FR"/>
        </w:rPr>
      </w:r>
      <w:r w:rsidR="001A3E0B" w:rsidRPr="00A66252">
        <w:rPr>
          <w:lang w:val="fr-FR"/>
        </w:rPr>
        <w:fldChar w:fldCharType="separate"/>
      </w:r>
      <w:r w:rsidR="00A66252" w:rsidRPr="00A66252">
        <w:rPr>
          <w:noProof/>
          <w:lang w:val="fr-FR"/>
        </w:rPr>
        <w:t>54</w:t>
      </w:r>
      <w:r w:rsidR="001A3E0B" w:rsidRPr="00A66252">
        <w:rPr>
          <w:lang w:val="fr-FR"/>
        </w:rPr>
        <w:fldChar w:fldCharType="end"/>
      </w:r>
      <w:r w:rsidRPr="00A66252">
        <w:rPr>
          <w:lang w:val="fr-FR"/>
        </w:rPr>
        <w:t>, ci-dess</w:t>
      </w:r>
      <w:r w:rsidR="001A3E0B" w:rsidRPr="00A66252">
        <w:rPr>
          <w:lang w:val="fr-FR"/>
        </w:rPr>
        <w:t>o</w:t>
      </w:r>
      <w:r w:rsidRPr="00A66252">
        <w:rPr>
          <w:lang w:val="fr-FR"/>
        </w:rPr>
        <w:t xml:space="preserve">us) ainsi que sa situation familiale, le requérant introduisit une demande de régularisation pour </w:t>
      </w:r>
      <w:r w:rsidR="00932DA2" w:rsidRPr="00A66252">
        <w:rPr>
          <w:lang w:val="fr-FR"/>
        </w:rPr>
        <w:t>raisons</w:t>
      </w:r>
      <w:r w:rsidRPr="00A66252">
        <w:rPr>
          <w:lang w:val="fr-FR"/>
        </w:rPr>
        <w:t xml:space="preserve"> exceptionnelles sur la base de l</w:t>
      </w:r>
      <w:r w:rsidR="00A66252" w:rsidRPr="00A66252">
        <w:rPr>
          <w:lang w:val="fr-FR"/>
        </w:rPr>
        <w:t>’</w:t>
      </w:r>
      <w:r w:rsidRPr="00A66252">
        <w:rPr>
          <w:lang w:val="fr-FR"/>
        </w:rPr>
        <w:t>article 9</w:t>
      </w:r>
      <w:r w:rsidRPr="00A66252">
        <w:rPr>
          <w:i/>
          <w:lang w:val="fr-FR"/>
        </w:rPr>
        <w:t>bis</w:t>
      </w:r>
      <w:r w:rsidRPr="00A66252">
        <w:rPr>
          <w:lang w:val="fr-FR"/>
        </w:rPr>
        <w:t xml:space="preserve"> de la loi sur les étrangers.</w:t>
      </w:r>
    </w:p>
    <w:bookmarkStart w:id="3" w:name="OE9TER3"/>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29</w:t>
      </w:r>
      <w:r w:rsidRPr="00A66252">
        <w:rPr>
          <w:lang w:val="fr-FR"/>
        </w:rPr>
        <w:fldChar w:fldCharType="end"/>
      </w:r>
      <w:bookmarkEnd w:id="3"/>
      <w:r w:rsidRPr="00A66252">
        <w:rPr>
          <w:lang w:val="fr-FR"/>
        </w:rPr>
        <w:t>.  Le 7 juillet 2010, l</w:t>
      </w:r>
      <w:r w:rsidR="00A66252" w:rsidRPr="00A66252">
        <w:rPr>
          <w:lang w:val="fr-FR"/>
        </w:rPr>
        <w:t>’</w:t>
      </w:r>
      <w:r w:rsidRPr="00A66252">
        <w:rPr>
          <w:lang w:val="fr-FR"/>
        </w:rPr>
        <w:t>OE rejeta la demande en régularisation considérant que la sauvegarde de l</w:t>
      </w:r>
      <w:r w:rsidR="00A66252" w:rsidRPr="00A66252">
        <w:rPr>
          <w:lang w:val="fr-FR"/>
        </w:rPr>
        <w:t>’</w:t>
      </w:r>
      <w:r w:rsidRPr="00A66252">
        <w:rPr>
          <w:lang w:val="fr-FR"/>
        </w:rPr>
        <w:t>intérêt supérieur de l</w:t>
      </w:r>
      <w:r w:rsidR="00A66252" w:rsidRPr="00A66252">
        <w:rPr>
          <w:lang w:val="fr-FR"/>
        </w:rPr>
        <w:t>’</w:t>
      </w:r>
      <w:r w:rsidRPr="00A66252">
        <w:rPr>
          <w:lang w:val="fr-FR"/>
        </w:rPr>
        <w:t>État primait sur l</w:t>
      </w:r>
      <w:r w:rsidR="00A66252" w:rsidRPr="00A66252">
        <w:rPr>
          <w:lang w:val="fr-FR"/>
        </w:rPr>
        <w:t>’</w:t>
      </w:r>
      <w:r w:rsidRPr="00A66252">
        <w:rPr>
          <w:lang w:val="fr-FR"/>
        </w:rPr>
        <w:t>intérêt du requérant et ses intérêts sociaux et familiaux et qu</w:t>
      </w:r>
      <w:r w:rsidR="00A66252" w:rsidRPr="00A66252">
        <w:rPr>
          <w:lang w:val="fr-FR"/>
        </w:rPr>
        <w:t>’</w:t>
      </w:r>
      <w:r w:rsidRPr="00A66252">
        <w:rPr>
          <w:lang w:val="fr-FR"/>
        </w:rPr>
        <w:t>en commettant des faits hautement répréhensibles, celui-ci avait lui-même mis l</w:t>
      </w:r>
      <w:r w:rsidR="00A66252" w:rsidRPr="00A66252">
        <w:rPr>
          <w:lang w:val="fr-FR"/>
        </w:rPr>
        <w:t>’</w:t>
      </w:r>
      <w:r w:rsidRPr="00A66252">
        <w:rPr>
          <w:lang w:val="fr-FR"/>
        </w:rPr>
        <w:t>unité familiale en péril. Cette décision lui fut signifiée le 11 juillet 2010.</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30</w:t>
      </w:r>
      <w:r w:rsidRPr="00A66252">
        <w:rPr>
          <w:lang w:val="fr-FR"/>
        </w:rPr>
        <w:fldChar w:fldCharType="end"/>
      </w:r>
      <w:r w:rsidRPr="00A66252">
        <w:rPr>
          <w:lang w:val="fr-FR"/>
        </w:rPr>
        <w:t>.  Le 26 juillet 2010, le requérant saisit le CCE d</w:t>
      </w:r>
      <w:r w:rsidR="00A66252" w:rsidRPr="00A66252">
        <w:rPr>
          <w:lang w:val="fr-FR"/>
        </w:rPr>
        <w:t>’</w:t>
      </w:r>
      <w:r w:rsidRPr="00A66252">
        <w:rPr>
          <w:lang w:val="fr-FR"/>
        </w:rPr>
        <w:t>une demande en suspension ordinaire et d</w:t>
      </w:r>
      <w:r w:rsidR="00A66252" w:rsidRPr="00A66252">
        <w:rPr>
          <w:lang w:val="fr-FR"/>
        </w:rPr>
        <w:t>’</w:t>
      </w:r>
      <w:r w:rsidRPr="00A66252">
        <w:rPr>
          <w:lang w:val="fr-FR"/>
        </w:rPr>
        <w:t>un recours en annulation du refus de régularisation du 7 juillet 2010. Ce recours était également dirigé, pour autant que de besoin, contre l</w:t>
      </w:r>
      <w:r w:rsidR="00A66252" w:rsidRPr="00A66252">
        <w:rPr>
          <w:lang w:val="fr-FR"/>
        </w:rPr>
        <w:t>’</w:t>
      </w:r>
      <w:r w:rsidRPr="00A66252">
        <w:rPr>
          <w:lang w:val="fr-FR"/>
        </w:rPr>
        <w:t xml:space="preserve">ordre de quitter le territoire de la même date (voir </w:t>
      </w:r>
      <w:r w:rsidRPr="00A66252">
        <w:rPr>
          <w:lang w:val="fr-FR"/>
        </w:rPr>
        <w:lastRenderedPageBreak/>
        <w:t xml:space="preserve">paragraphe </w:t>
      </w:r>
      <w:r w:rsidR="001A3E0B" w:rsidRPr="00A66252">
        <w:rPr>
          <w:lang w:val="fr-FR"/>
        </w:rPr>
        <w:fldChar w:fldCharType="begin"/>
      </w:r>
      <w:r w:rsidR="001A3E0B" w:rsidRPr="00A66252">
        <w:rPr>
          <w:lang w:val="fr-FR"/>
        </w:rPr>
        <w:instrText xml:space="preserve"> REF OQT0710 \h </w:instrText>
      </w:r>
      <w:r w:rsidR="0080142D" w:rsidRPr="00A66252">
        <w:rPr>
          <w:lang w:val="fr-FR"/>
        </w:rPr>
        <w:instrText xml:space="preserve"> \* MERGEFORMAT </w:instrText>
      </w:r>
      <w:r w:rsidR="001A3E0B" w:rsidRPr="00A66252">
        <w:rPr>
          <w:lang w:val="fr-FR"/>
        </w:rPr>
      </w:r>
      <w:r w:rsidR="001A3E0B" w:rsidRPr="00A66252">
        <w:rPr>
          <w:lang w:val="fr-FR"/>
        </w:rPr>
        <w:fldChar w:fldCharType="separate"/>
      </w:r>
      <w:r w:rsidR="00A66252" w:rsidRPr="00A66252">
        <w:rPr>
          <w:noProof/>
          <w:lang w:val="fr-FR"/>
        </w:rPr>
        <w:t>78</w:t>
      </w:r>
      <w:r w:rsidR="001A3E0B" w:rsidRPr="00A66252">
        <w:rPr>
          <w:lang w:val="fr-FR"/>
        </w:rPr>
        <w:fldChar w:fldCharType="end"/>
      </w:r>
      <w:r w:rsidRPr="00A66252">
        <w:rPr>
          <w:lang w:val="fr-FR"/>
        </w:rPr>
        <w:t>, ci-dessous). Il invoquait une violation des articles 2 et 3 de la Convention et soutenait que, vu la gravité de son état de santé, il se trouvait dans des circonstances humanitaires exceptionnelles au sens donné par la Cour dans l</w:t>
      </w:r>
      <w:r w:rsidR="00A66252" w:rsidRPr="00A66252">
        <w:rPr>
          <w:lang w:val="fr-FR"/>
        </w:rPr>
        <w:t>’</w:t>
      </w:r>
      <w:r w:rsidRPr="00A66252">
        <w:rPr>
          <w:lang w:val="fr-FR"/>
        </w:rPr>
        <w:t xml:space="preserve">arrêt </w:t>
      </w:r>
      <w:r w:rsidRPr="00A66252">
        <w:rPr>
          <w:i/>
          <w:lang w:val="fr-FR"/>
        </w:rPr>
        <w:t>D. c. Royaume-Uni</w:t>
      </w:r>
      <w:r w:rsidRPr="00A66252">
        <w:rPr>
          <w:lang w:val="fr-FR"/>
        </w:rPr>
        <w:t xml:space="preserve"> (2 mai 1997, </w:t>
      </w:r>
      <w:r w:rsidRPr="00A66252">
        <w:rPr>
          <w:i/>
          <w:lang w:val="fr-FR"/>
        </w:rPr>
        <w:t>Recueil des arrêts et décisions</w:t>
      </w:r>
      <w:r w:rsidRPr="00A66252">
        <w:rPr>
          <w:lang w:val="fr-FR"/>
        </w:rPr>
        <w:t xml:space="preserve"> 1997</w:t>
      </w:r>
      <w:r w:rsidRPr="00A66252">
        <w:rPr>
          <w:rFonts w:ascii="MS Mincho" w:eastAsia="MS Mincho" w:hAnsi="MS Mincho" w:cs="MS Mincho" w:hint="eastAsia"/>
          <w:lang w:val="fr-FR"/>
        </w:rPr>
        <w:t>‑</w:t>
      </w:r>
      <w:r w:rsidRPr="00A66252">
        <w:rPr>
          <w:lang w:val="fr-FR"/>
        </w:rPr>
        <w:t>III), qu</w:t>
      </w:r>
      <w:r w:rsidR="00A66252" w:rsidRPr="00A66252">
        <w:rPr>
          <w:rFonts w:ascii="Times New Roman" w:hAnsi="Times New Roman" w:cs="Times New Roman"/>
          <w:lang w:val="fr-FR"/>
        </w:rPr>
        <w:t>’</w:t>
      </w:r>
      <w:r w:rsidRPr="00A66252">
        <w:rPr>
          <w:lang w:val="fr-FR"/>
        </w:rPr>
        <w:t>il n</w:t>
      </w:r>
      <w:r w:rsidR="00A66252" w:rsidRPr="00A66252">
        <w:rPr>
          <w:rFonts w:ascii="Times New Roman" w:hAnsi="Times New Roman" w:cs="Times New Roman"/>
          <w:lang w:val="fr-FR"/>
        </w:rPr>
        <w:t>’</w:t>
      </w:r>
      <w:r w:rsidRPr="00A66252">
        <w:rPr>
          <w:lang w:val="fr-FR"/>
        </w:rPr>
        <w:t>aurait pas acc</w:t>
      </w:r>
      <w:r w:rsidRPr="00A66252">
        <w:rPr>
          <w:rFonts w:ascii="Times New Roman" w:hAnsi="Times New Roman" w:cs="Times New Roman"/>
          <w:lang w:val="fr-FR"/>
        </w:rPr>
        <w:t>è</w:t>
      </w:r>
      <w:r w:rsidRPr="00A66252">
        <w:rPr>
          <w:lang w:val="fr-FR"/>
        </w:rPr>
        <w:t>s aux traitements en G</w:t>
      </w:r>
      <w:r w:rsidRPr="00A66252">
        <w:rPr>
          <w:rFonts w:ascii="Times New Roman" w:hAnsi="Times New Roman" w:cs="Times New Roman"/>
          <w:lang w:val="fr-FR"/>
        </w:rPr>
        <w:t>é</w:t>
      </w:r>
      <w:r w:rsidRPr="00A66252">
        <w:rPr>
          <w:lang w:val="fr-FR"/>
        </w:rPr>
        <w:t>orgie et que l</w:t>
      </w:r>
      <w:r w:rsidR="00A66252" w:rsidRPr="00A66252">
        <w:rPr>
          <w:rFonts w:ascii="Times New Roman" w:hAnsi="Times New Roman" w:cs="Times New Roman"/>
          <w:lang w:val="fr-FR"/>
        </w:rPr>
        <w:t>’</w:t>
      </w:r>
      <w:r w:rsidRPr="00A66252">
        <w:rPr>
          <w:lang w:val="fr-FR"/>
        </w:rPr>
        <w:t>arr</w:t>
      </w:r>
      <w:r w:rsidRPr="00A66252">
        <w:rPr>
          <w:rFonts w:ascii="Times New Roman" w:hAnsi="Times New Roman" w:cs="Times New Roman"/>
          <w:lang w:val="fr-FR"/>
        </w:rPr>
        <w:t>ê</w:t>
      </w:r>
      <w:r w:rsidRPr="00A66252">
        <w:rPr>
          <w:lang w:val="fr-FR"/>
        </w:rPr>
        <w:t>t des traitements entra</w:t>
      </w:r>
      <w:r w:rsidRPr="00A66252">
        <w:rPr>
          <w:rFonts w:ascii="Times New Roman" w:hAnsi="Times New Roman" w:cs="Times New Roman"/>
          <w:lang w:val="fr-FR"/>
        </w:rPr>
        <w:t>î</w:t>
      </w:r>
      <w:r w:rsidRPr="00A66252">
        <w:rPr>
          <w:lang w:val="fr-FR"/>
        </w:rPr>
        <w:t>nerait son d</w:t>
      </w:r>
      <w:r w:rsidRPr="00A66252">
        <w:rPr>
          <w:rFonts w:ascii="Times New Roman" w:hAnsi="Times New Roman" w:cs="Times New Roman"/>
          <w:lang w:val="fr-FR"/>
        </w:rPr>
        <w:t>é</w:t>
      </w:r>
      <w:r w:rsidRPr="00A66252">
        <w:rPr>
          <w:lang w:val="fr-FR"/>
        </w:rPr>
        <w:t>c</w:t>
      </w:r>
      <w:r w:rsidRPr="00A66252">
        <w:rPr>
          <w:rFonts w:ascii="Times New Roman" w:hAnsi="Times New Roman" w:cs="Times New Roman"/>
          <w:lang w:val="fr-FR"/>
        </w:rPr>
        <w:t>è</w:t>
      </w:r>
      <w:r w:rsidRPr="00A66252">
        <w:rPr>
          <w:lang w:val="fr-FR"/>
        </w:rPr>
        <w:t>s pr</w:t>
      </w:r>
      <w:r w:rsidRPr="00A66252">
        <w:rPr>
          <w:rFonts w:ascii="Times New Roman" w:hAnsi="Times New Roman" w:cs="Times New Roman"/>
          <w:lang w:val="fr-FR"/>
        </w:rPr>
        <w:t>é</w:t>
      </w:r>
      <w:r w:rsidRPr="00A66252">
        <w:rPr>
          <w:lang w:val="fr-FR"/>
        </w:rPr>
        <w:t>matur</w:t>
      </w:r>
      <w:r w:rsidRPr="00A66252">
        <w:rPr>
          <w:rFonts w:ascii="Times New Roman" w:hAnsi="Times New Roman" w:cs="Times New Roman"/>
          <w:lang w:val="fr-FR"/>
        </w:rPr>
        <w:t>é</w:t>
      </w:r>
      <w:r w:rsidRPr="00A66252">
        <w:rPr>
          <w:lang w:val="fr-FR"/>
        </w:rPr>
        <w:t xml:space="preserve">. Il se plaignait </w:t>
      </w:r>
      <w:r w:rsidRPr="00A66252">
        <w:rPr>
          <w:rFonts w:ascii="Times New Roman" w:hAnsi="Times New Roman" w:cs="Times New Roman"/>
          <w:lang w:val="fr-FR"/>
        </w:rPr>
        <w:t>é</w:t>
      </w:r>
      <w:r w:rsidRPr="00A66252">
        <w:rPr>
          <w:lang w:val="fr-FR"/>
        </w:rPr>
        <w:t>galement d</w:t>
      </w:r>
      <w:r w:rsidR="00A66252" w:rsidRPr="00A66252">
        <w:rPr>
          <w:lang w:val="fr-FR"/>
        </w:rPr>
        <w:t>’</w:t>
      </w:r>
      <w:r w:rsidRPr="00A66252">
        <w:rPr>
          <w:lang w:val="fr-FR"/>
        </w:rPr>
        <w:t>une atteinte à l</w:t>
      </w:r>
      <w:r w:rsidR="00A66252" w:rsidRPr="00A66252">
        <w:rPr>
          <w:lang w:val="fr-FR"/>
        </w:rPr>
        <w:t>’</w:t>
      </w:r>
      <w:r w:rsidRPr="00A66252">
        <w:rPr>
          <w:lang w:val="fr-FR"/>
        </w:rPr>
        <w:t>article 8 de la Convention et à la Convention internationale relative aux droits de l</w:t>
      </w:r>
      <w:r w:rsidR="00A66252" w:rsidRPr="00A66252">
        <w:rPr>
          <w:lang w:val="fr-FR"/>
        </w:rPr>
        <w:t>’</w:t>
      </w:r>
      <w:r w:rsidRPr="00A66252">
        <w:rPr>
          <w:lang w:val="fr-FR"/>
        </w:rPr>
        <w:t>enfant au motif que son retour en Géorgie le séparerait définitivement des siens</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31</w:t>
      </w:r>
      <w:r w:rsidRPr="00A66252">
        <w:rPr>
          <w:lang w:val="fr-FR"/>
        </w:rPr>
        <w:fldChar w:fldCharType="end"/>
      </w:r>
      <w:r w:rsidRPr="00A66252">
        <w:rPr>
          <w:lang w:val="fr-FR"/>
        </w:rPr>
        <w:t>.  Les recours furent rejetés par le CCE par un arrêt du 16 mars 2015 au motif que le requérant n</w:t>
      </w:r>
      <w:r w:rsidR="00A66252" w:rsidRPr="00A66252">
        <w:rPr>
          <w:lang w:val="fr-FR"/>
        </w:rPr>
        <w:t>’</w:t>
      </w:r>
      <w:r w:rsidRPr="00A66252">
        <w:rPr>
          <w:lang w:val="fr-FR"/>
        </w:rPr>
        <w:t>était pas présent ni représenté à l</w:t>
      </w:r>
      <w:r w:rsidR="00A66252" w:rsidRPr="00A66252">
        <w:rPr>
          <w:lang w:val="fr-FR"/>
        </w:rPr>
        <w:t>’</w:t>
      </w:r>
      <w:r w:rsidRPr="00A66252">
        <w:rPr>
          <w:lang w:val="fr-FR"/>
        </w:rPr>
        <w:t>audience</w:t>
      </w:r>
      <w:r w:rsidR="00D93679" w:rsidRPr="00A66252">
        <w:rPr>
          <w:lang w:val="fr-FR"/>
        </w:rPr>
        <w:t>.</w:t>
      </w:r>
    </w:p>
    <w:p w:rsidR="001B27E3" w:rsidRPr="00A66252" w:rsidRDefault="001B27E3" w:rsidP="00A66252">
      <w:pPr>
        <w:pStyle w:val="ECHRHeading3"/>
        <w:rPr>
          <w:lang w:val="fr-FR"/>
        </w:rPr>
      </w:pPr>
      <w:r w:rsidRPr="00A66252">
        <w:rPr>
          <w:lang w:val="fr-FR"/>
        </w:rPr>
        <w:t>4</w:t>
      </w:r>
      <w:r w:rsidR="00276F84" w:rsidRPr="00A66252">
        <w:rPr>
          <w:lang w:val="fr-FR"/>
        </w:rPr>
        <w:t>.  </w:t>
      </w:r>
      <w:r w:rsidRPr="00A66252">
        <w:rPr>
          <w:lang w:val="fr-FR"/>
        </w:rPr>
        <w:t>Régularisation de la famille du requérant</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32</w:t>
      </w:r>
      <w:r w:rsidRPr="00A66252">
        <w:rPr>
          <w:lang w:val="fr-FR"/>
        </w:rPr>
        <w:fldChar w:fldCharType="end"/>
      </w:r>
      <w:r w:rsidRPr="00A66252">
        <w:rPr>
          <w:lang w:val="fr-FR"/>
        </w:rPr>
        <w:t>.  Le 5 novembre 2009, invoquant la situation de famille et la durée de son séjour en Belgique, l</w:t>
      </w:r>
      <w:r w:rsidR="00A66252" w:rsidRPr="00A66252">
        <w:rPr>
          <w:lang w:val="fr-FR"/>
        </w:rPr>
        <w:t>’</w:t>
      </w:r>
      <w:r w:rsidRPr="00A66252">
        <w:rPr>
          <w:lang w:val="fr-FR"/>
        </w:rPr>
        <w:t xml:space="preserve">épouse du requérant introduisit une demande de régularisation </w:t>
      </w:r>
      <w:r w:rsidR="009D52D4" w:rsidRPr="00A66252">
        <w:rPr>
          <w:lang w:val="fr-FR"/>
        </w:rPr>
        <w:t xml:space="preserve">pour circonstances exceptionnelles </w:t>
      </w:r>
      <w:r w:rsidRPr="00A66252">
        <w:rPr>
          <w:lang w:val="fr-FR"/>
        </w:rPr>
        <w:t>sur la base de l</w:t>
      </w:r>
      <w:r w:rsidR="00A66252" w:rsidRPr="00A66252">
        <w:rPr>
          <w:lang w:val="fr-FR"/>
        </w:rPr>
        <w:t>’</w:t>
      </w:r>
      <w:r w:rsidRPr="00A66252">
        <w:rPr>
          <w:lang w:val="fr-FR"/>
        </w:rPr>
        <w:t>article 9</w:t>
      </w:r>
      <w:r w:rsidRPr="00A66252">
        <w:rPr>
          <w:i/>
          <w:lang w:val="fr-FR"/>
        </w:rPr>
        <w:t>bis</w:t>
      </w:r>
      <w:r w:rsidRPr="00A66252">
        <w:rPr>
          <w:lang w:val="fr-FR"/>
        </w:rPr>
        <w:t xml:space="preserve"> de la loi sur les étrangers.</w:t>
      </w:r>
    </w:p>
    <w:p w:rsidR="001B27E3" w:rsidRPr="00A66252" w:rsidRDefault="001B27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33</w:t>
      </w:r>
      <w:r w:rsidRPr="00A66252">
        <w:rPr>
          <w:lang w:val="fr-FR"/>
        </w:rPr>
        <w:fldChar w:fldCharType="end"/>
      </w:r>
      <w:r w:rsidRPr="00A66252">
        <w:rPr>
          <w:lang w:val="fr-FR"/>
        </w:rPr>
        <w:t>.  Elle obtint pour elle et ses trois enfants une autorisation de séjour illimité le 29 juillet 2010.</w:t>
      </w:r>
    </w:p>
    <w:p w:rsidR="00CD2EF5" w:rsidRPr="00A66252" w:rsidRDefault="001B27E3" w:rsidP="00A66252">
      <w:pPr>
        <w:pStyle w:val="ECHRHeading2"/>
        <w:rPr>
          <w:lang w:val="fr-FR"/>
        </w:rPr>
      </w:pPr>
      <w:r w:rsidRPr="00A66252">
        <w:rPr>
          <w:lang w:val="fr-FR"/>
        </w:rPr>
        <w:t>D</w:t>
      </w:r>
      <w:r w:rsidR="00276F84" w:rsidRPr="00A66252">
        <w:rPr>
          <w:lang w:val="fr-FR"/>
        </w:rPr>
        <w:t>.  </w:t>
      </w:r>
      <w:r w:rsidR="00CD2EF5" w:rsidRPr="00A66252">
        <w:rPr>
          <w:lang w:val="fr-FR"/>
        </w:rPr>
        <w:t>L</w:t>
      </w:r>
      <w:r w:rsidR="00A66252" w:rsidRPr="00A66252">
        <w:rPr>
          <w:lang w:val="fr-FR"/>
        </w:rPr>
        <w:t>’</w:t>
      </w:r>
      <w:r w:rsidR="00CD2EF5" w:rsidRPr="00A66252">
        <w:rPr>
          <w:lang w:val="fr-FR"/>
        </w:rPr>
        <w:t>état de santé du requérant</w:t>
      </w:r>
    </w:p>
    <w:p w:rsidR="00A66252" w:rsidRPr="00A66252" w:rsidRDefault="00772847" w:rsidP="00A66252">
      <w:pPr>
        <w:pStyle w:val="ECHRHeading3"/>
        <w:rPr>
          <w:lang w:val="fr-FR"/>
        </w:rPr>
      </w:pPr>
      <w:r w:rsidRPr="00A66252">
        <w:rPr>
          <w:lang w:val="fr-FR"/>
        </w:rPr>
        <w:t>1</w:t>
      </w:r>
      <w:r w:rsidR="00276F84" w:rsidRPr="00A66252">
        <w:rPr>
          <w:lang w:val="fr-FR"/>
        </w:rPr>
        <w:t>.  </w:t>
      </w:r>
      <w:r w:rsidR="00662ED2" w:rsidRPr="00A66252">
        <w:rPr>
          <w:lang w:val="fr-FR"/>
        </w:rPr>
        <w:t xml:space="preserve">Leucémie </w:t>
      </w:r>
      <w:r w:rsidR="00003D2C" w:rsidRPr="00A66252">
        <w:rPr>
          <w:lang w:val="fr-FR"/>
        </w:rPr>
        <w:t>lymphoïde</w:t>
      </w:r>
      <w:r w:rsidR="00662ED2" w:rsidRPr="00A66252">
        <w:rPr>
          <w:lang w:val="fr-FR"/>
        </w:rPr>
        <w:t xml:space="preserve"> chronique</w:t>
      </w:r>
    </w:p>
    <w:bookmarkStart w:id="4" w:name="LLCDIAGN"/>
    <w:p w:rsidR="00CD2EF5" w:rsidRPr="00A66252" w:rsidRDefault="00CD2EF5"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34</w:t>
      </w:r>
      <w:r w:rsidRPr="00A66252">
        <w:rPr>
          <w:lang w:val="fr-FR"/>
        </w:rPr>
        <w:fldChar w:fldCharType="end"/>
      </w:r>
      <w:bookmarkEnd w:id="4"/>
      <w:r w:rsidRPr="00A66252">
        <w:rPr>
          <w:lang w:val="fr-FR"/>
        </w:rPr>
        <w:t>.  Courant 2006, alors que le requérant était incarcéré (voir paragraphe</w:t>
      </w:r>
      <w:r w:rsidR="00276F84" w:rsidRPr="00A66252">
        <w:rPr>
          <w:lang w:val="fr-FR"/>
        </w:rPr>
        <w:t> </w:t>
      </w:r>
      <w:r w:rsidR="00154A8A" w:rsidRPr="00A66252">
        <w:rPr>
          <w:lang w:val="fr-FR"/>
        </w:rPr>
        <w:fldChar w:fldCharType="begin"/>
      </w:r>
      <w:r w:rsidR="00154A8A" w:rsidRPr="00A66252">
        <w:rPr>
          <w:lang w:val="fr-FR"/>
        </w:rPr>
        <w:instrText xml:space="preserve"> REF DET \h </w:instrText>
      </w:r>
      <w:r w:rsidR="0080142D" w:rsidRPr="00A66252">
        <w:rPr>
          <w:lang w:val="fr-FR"/>
        </w:rPr>
        <w:instrText xml:space="preserve"> \* MERGEFORMAT </w:instrText>
      </w:r>
      <w:r w:rsidR="00154A8A" w:rsidRPr="00A66252">
        <w:rPr>
          <w:lang w:val="fr-FR"/>
        </w:rPr>
      </w:r>
      <w:r w:rsidR="00154A8A" w:rsidRPr="00A66252">
        <w:rPr>
          <w:lang w:val="fr-FR"/>
        </w:rPr>
        <w:fldChar w:fldCharType="separate"/>
      </w:r>
      <w:r w:rsidR="00A66252" w:rsidRPr="00A66252">
        <w:rPr>
          <w:noProof/>
          <w:lang w:val="fr-FR"/>
        </w:rPr>
        <w:t>17</w:t>
      </w:r>
      <w:r w:rsidR="00154A8A" w:rsidRPr="00A66252">
        <w:rPr>
          <w:lang w:val="fr-FR"/>
        </w:rPr>
        <w:fldChar w:fldCharType="end"/>
      </w:r>
      <w:r w:rsidR="004F7C05" w:rsidRPr="00A66252">
        <w:rPr>
          <w:lang w:val="fr-FR"/>
        </w:rPr>
        <w:t xml:space="preserve">, </w:t>
      </w:r>
      <w:r w:rsidRPr="00A66252">
        <w:rPr>
          <w:lang w:val="fr-FR"/>
        </w:rPr>
        <w:t>ci-dessus), on lui diagnostiqua</w:t>
      </w:r>
      <w:r w:rsidRPr="00A66252">
        <w:rPr>
          <w:b/>
          <w:lang w:val="fr-FR"/>
        </w:rPr>
        <w:t xml:space="preserve"> </w:t>
      </w:r>
      <w:r w:rsidRPr="00A66252">
        <w:rPr>
          <w:lang w:val="fr-FR"/>
        </w:rPr>
        <w:t xml:space="preserve">une leucémie </w:t>
      </w:r>
      <w:r w:rsidR="00003D2C" w:rsidRPr="00A66252">
        <w:rPr>
          <w:lang w:val="fr-FR"/>
        </w:rPr>
        <w:t>lymphoïde</w:t>
      </w:r>
      <w:r w:rsidRPr="00A66252">
        <w:rPr>
          <w:lang w:val="fr-FR"/>
        </w:rPr>
        <w:t xml:space="preserve"> chronique au stade </w:t>
      </w:r>
      <w:r w:rsidR="00483351" w:rsidRPr="00A66252">
        <w:rPr>
          <w:lang w:val="fr-FR"/>
        </w:rPr>
        <w:t>Binet B avec CD38 très positif</w:t>
      </w:r>
      <w:r w:rsidRPr="00A66252">
        <w:rPr>
          <w:lang w:val="fr-FR"/>
        </w:rPr>
        <w:t>. Aucun traitement ne fut entamé.</w:t>
      </w:r>
    </w:p>
    <w:p w:rsidR="00CD2EF5" w:rsidRPr="00A66252" w:rsidRDefault="00CD2EF5"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35</w:t>
      </w:r>
      <w:r w:rsidRPr="00A66252">
        <w:rPr>
          <w:lang w:val="fr-FR"/>
        </w:rPr>
        <w:fldChar w:fldCharType="end"/>
      </w:r>
      <w:r w:rsidRPr="00A66252">
        <w:rPr>
          <w:lang w:val="fr-FR"/>
        </w:rPr>
        <w:t>.  L</w:t>
      </w:r>
      <w:r w:rsidR="00A66252" w:rsidRPr="00A66252">
        <w:rPr>
          <w:lang w:val="fr-FR"/>
        </w:rPr>
        <w:t>’</w:t>
      </w:r>
      <w:r w:rsidRPr="00A66252">
        <w:rPr>
          <w:lang w:val="fr-FR"/>
        </w:rPr>
        <w:t>état de santé du requérant s</w:t>
      </w:r>
      <w:r w:rsidR="00A66252" w:rsidRPr="00A66252">
        <w:rPr>
          <w:lang w:val="fr-FR"/>
        </w:rPr>
        <w:t>’</w:t>
      </w:r>
      <w:r w:rsidRPr="00A66252">
        <w:rPr>
          <w:lang w:val="fr-FR"/>
        </w:rPr>
        <w:t>étant dégradé, il fut hospitalisé du 14</w:t>
      </w:r>
      <w:r w:rsidR="00276F84" w:rsidRPr="00A66252">
        <w:rPr>
          <w:lang w:val="fr-FR"/>
        </w:rPr>
        <w:t> </w:t>
      </w:r>
      <w:r w:rsidRPr="00A66252">
        <w:rPr>
          <w:lang w:val="fr-FR"/>
        </w:rPr>
        <w:t>août au 23 octobre 2007 au complexe médical pénitentiaire de Bruges afin de bénéficier d</w:t>
      </w:r>
      <w:r w:rsidR="00A66252" w:rsidRPr="00A66252">
        <w:rPr>
          <w:lang w:val="fr-FR"/>
        </w:rPr>
        <w:t>’</w:t>
      </w:r>
      <w:r w:rsidRPr="00A66252">
        <w:rPr>
          <w:lang w:val="fr-FR"/>
        </w:rPr>
        <w:t xml:space="preserve">une </w:t>
      </w:r>
      <w:r w:rsidR="00962208" w:rsidRPr="00A66252">
        <w:rPr>
          <w:lang w:val="fr-FR"/>
        </w:rPr>
        <w:t>chimio</w:t>
      </w:r>
      <w:r w:rsidRPr="00A66252">
        <w:rPr>
          <w:lang w:val="fr-FR"/>
        </w:rPr>
        <w:t>thérapie.</w:t>
      </w:r>
    </w:p>
    <w:p w:rsidR="00CD2EF5" w:rsidRPr="00A66252" w:rsidRDefault="00483351"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36</w:t>
      </w:r>
      <w:r w:rsidRPr="00A66252">
        <w:rPr>
          <w:lang w:val="fr-FR"/>
        </w:rPr>
        <w:fldChar w:fldCharType="end"/>
      </w:r>
      <w:r w:rsidRPr="00A66252">
        <w:rPr>
          <w:lang w:val="fr-FR"/>
        </w:rPr>
        <w:t>.  </w:t>
      </w:r>
      <w:r w:rsidR="00CD2EF5" w:rsidRPr="00A66252">
        <w:rPr>
          <w:lang w:val="fr-FR"/>
        </w:rPr>
        <w:t>Selon un rapport établi le 11 février 2008 par l</w:t>
      </w:r>
      <w:r w:rsidR="00A66252" w:rsidRPr="00A66252">
        <w:rPr>
          <w:lang w:val="fr-FR"/>
        </w:rPr>
        <w:t>’</w:t>
      </w:r>
      <w:r w:rsidR="00CD2EF5" w:rsidRPr="00A66252">
        <w:rPr>
          <w:lang w:val="fr-FR"/>
        </w:rPr>
        <w:t>hôpital universitaire d</w:t>
      </w:r>
      <w:r w:rsidR="00A66252" w:rsidRPr="00A66252">
        <w:rPr>
          <w:lang w:val="fr-FR"/>
        </w:rPr>
        <w:t>’</w:t>
      </w:r>
      <w:r w:rsidR="00CD2EF5" w:rsidRPr="00A66252">
        <w:rPr>
          <w:lang w:val="fr-FR"/>
        </w:rPr>
        <w:t>Anvers où le requérant était suivi, son pronostic vital était engagé et, d</w:t>
      </w:r>
      <w:r w:rsidR="00A66252" w:rsidRPr="00A66252">
        <w:rPr>
          <w:lang w:val="fr-FR"/>
        </w:rPr>
        <w:t>’</w:t>
      </w:r>
      <w:r w:rsidR="00CD2EF5" w:rsidRPr="00A66252">
        <w:rPr>
          <w:lang w:val="fr-FR"/>
        </w:rPr>
        <w:t>après les moyennes observées en 2007, son espérance de vie était de trois à cinq ans. Ce même rapport attestait que, gr</w:t>
      </w:r>
      <w:r w:rsidR="009D52D4" w:rsidRPr="00A66252">
        <w:rPr>
          <w:lang w:val="fr-FR"/>
        </w:rPr>
        <w:t xml:space="preserve">âce aux traitements, le taux </w:t>
      </w:r>
      <w:r w:rsidR="00CD2EF5" w:rsidRPr="00A66252">
        <w:rPr>
          <w:lang w:val="fr-FR"/>
        </w:rPr>
        <w:t>de lymphocytes</w:t>
      </w:r>
      <w:r w:rsidR="009D52D4" w:rsidRPr="00A66252">
        <w:rPr>
          <w:lang w:val="fr-FR"/>
        </w:rPr>
        <w:t xml:space="preserve"> avait substantiellement diminué.</w:t>
      </w:r>
    </w:p>
    <w:p w:rsidR="00CD2EF5" w:rsidRPr="00A66252" w:rsidRDefault="00CD2EF5"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37</w:t>
      </w:r>
      <w:r w:rsidRPr="00A66252">
        <w:rPr>
          <w:lang w:val="fr-FR"/>
        </w:rPr>
        <w:fldChar w:fldCharType="end"/>
      </w:r>
      <w:r w:rsidRPr="00A66252">
        <w:rPr>
          <w:lang w:val="fr-FR"/>
        </w:rPr>
        <w:t>.  Du 8 au 14 mai 2010, le requérant fut hospitalisé à Turnhout en raison de troubles respiratoires. Le rapport médical établi à cette occasion recommandait que le requérant soit suivi en ambulatoire par un pneumologue et un hématologue. Ce suivi ne fut pas assuré à son retour à la prison de Merksplas où il était maintenu.</w:t>
      </w:r>
    </w:p>
    <w:p w:rsidR="00CD2EF5" w:rsidRPr="00A66252" w:rsidRDefault="00CD2EF5"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38</w:t>
      </w:r>
      <w:r w:rsidRPr="00A66252">
        <w:rPr>
          <w:lang w:val="fr-FR"/>
        </w:rPr>
        <w:fldChar w:fldCharType="end"/>
      </w:r>
      <w:r w:rsidRPr="00A66252">
        <w:rPr>
          <w:lang w:val="fr-FR"/>
        </w:rPr>
        <w:t>.  Le 22 juillet 2010, un médecin de l</w:t>
      </w:r>
      <w:r w:rsidR="00A66252" w:rsidRPr="00A66252">
        <w:rPr>
          <w:lang w:val="fr-FR"/>
        </w:rPr>
        <w:t>’</w:t>
      </w:r>
      <w:r w:rsidRPr="00A66252">
        <w:rPr>
          <w:lang w:val="fr-FR"/>
        </w:rPr>
        <w:t>hôpital universitaire d</w:t>
      </w:r>
      <w:r w:rsidR="00A66252" w:rsidRPr="00A66252">
        <w:rPr>
          <w:lang w:val="fr-FR"/>
        </w:rPr>
        <w:t>’</w:t>
      </w:r>
      <w:r w:rsidRPr="00A66252">
        <w:rPr>
          <w:lang w:val="fr-FR"/>
        </w:rPr>
        <w:t xml:space="preserve">Anvers se déplaça au centre fermé </w:t>
      </w:r>
      <w:r w:rsidR="009D52D4" w:rsidRPr="00A66252">
        <w:rPr>
          <w:lang w:val="fr-FR"/>
        </w:rPr>
        <w:t xml:space="preserve">pour illégaux </w:t>
      </w:r>
      <w:r w:rsidRPr="00A66252">
        <w:rPr>
          <w:lang w:val="fr-FR"/>
        </w:rPr>
        <w:t>de Merksplas</w:t>
      </w:r>
      <w:r w:rsidR="009D52D4" w:rsidRPr="00A66252">
        <w:rPr>
          <w:lang w:val="fr-FR"/>
        </w:rPr>
        <w:t xml:space="preserve"> (voir paragraphe </w:t>
      </w:r>
      <w:r w:rsidR="00154A8A" w:rsidRPr="00A66252">
        <w:rPr>
          <w:lang w:val="fr-FR"/>
        </w:rPr>
        <w:fldChar w:fldCharType="begin"/>
      </w:r>
      <w:r w:rsidR="00154A8A" w:rsidRPr="00A66252">
        <w:rPr>
          <w:lang w:val="fr-FR"/>
        </w:rPr>
        <w:instrText xml:space="preserve"> REF CENTFERMERKS \h </w:instrText>
      </w:r>
      <w:r w:rsidR="0080142D" w:rsidRPr="00A66252">
        <w:rPr>
          <w:lang w:val="fr-FR"/>
        </w:rPr>
        <w:instrText xml:space="preserve"> \* MERGEFORMAT </w:instrText>
      </w:r>
      <w:r w:rsidR="00154A8A" w:rsidRPr="00A66252">
        <w:rPr>
          <w:lang w:val="fr-FR"/>
        </w:rPr>
      </w:r>
      <w:r w:rsidR="00154A8A" w:rsidRPr="00A66252">
        <w:rPr>
          <w:lang w:val="fr-FR"/>
        </w:rPr>
        <w:fldChar w:fldCharType="separate"/>
      </w:r>
      <w:r w:rsidR="00A66252" w:rsidRPr="00A66252">
        <w:rPr>
          <w:noProof/>
          <w:lang w:val="fr-FR"/>
        </w:rPr>
        <w:t>79</w:t>
      </w:r>
      <w:r w:rsidR="00154A8A" w:rsidRPr="00A66252">
        <w:rPr>
          <w:lang w:val="fr-FR"/>
        </w:rPr>
        <w:fldChar w:fldCharType="end"/>
      </w:r>
      <w:r w:rsidR="00761BF3" w:rsidRPr="00A66252">
        <w:rPr>
          <w:lang w:val="fr-FR"/>
        </w:rPr>
        <w:t>, ci</w:t>
      </w:r>
      <w:r w:rsidR="00761BF3" w:rsidRPr="00A66252">
        <w:rPr>
          <w:lang w:val="fr-FR"/>
        </w:rPr>
        <w:noBreakHyphen/>
      </w:r>
      <w:r w:rsidR="009D52D4" w:rsidRPr="00A66252">
        <w:rPr>
          <w:lang w:val="fr-FR"/>
        </w:rPr>
        <w:t>dessous)</w:t>
      </w:r>
      <w:r w:rsidRPr="00A66252">
        <w:rPr>
          <w:lang w:val="fr-FR"/>
        </w:rPr>
        <w:t xml:space="preserve">, où le requérant avait entretemps été transféré, pour y effectuer </w:t>
      </w:r>
      <w:r w:rsidRPr="00A66252">
        <w:rPr>
          <w:lang w:val="fr-FR"/>
        </w:rPr>
        <w:lastRenderedPageBreak/>
        <w:t>un examen médical complet de celui-ci. Ce rapport faisait état de ce que le requérant n</w:t>
      </w:r>
      <w:r w:rsidR="00A66252" w:rsidRPr="00A66252">
        <w:rPr>
          <w:lang w:val="fr-FR"/>
        </w:rPr>
        <w:t>’</w:t>
      </w:r>
      <w:r w:rsidRPr="00A66252">
        <w:rPr>
          <w:lang w:val="fr-FR"/>
        </w:rPr>
        <w:t>avait pas bénéficié d</w:t>
      </w:r>
      <w:r w:rsidR="00A66252" w:rsidRPr="00A66252">
        <w:rPr>
          <w:lang w:val="fr-FR"/>
        </w:rPr>
        <w:t>’</w:t>
      </w:r>
      <w:r w:rsidRPr="00A66252">
        <w:rPr>
          <w:lang w:val="fr-FR"/>
        </w:rPr>
        <w:t>un suivi médical suffisant de sa leucémie, que la maladie évoluait rapidement vers le stade Binet C et qu</w:t>
      </w:r>
      <w:r w:rsidR="00A66252" w:rsidRPr="00A66252">
        <w:rPr>
          <w:lang w:val="fr-FR"/>
        </w:rPr>
        <w:t>’</w:t>
      </w:r>
      <w:r w:rsidRPr="00A66252">
        <w:rPr>
          <w:lang w:val="fr-FR"/>
        </w:rPr>
        <w:t xml:space="preserve">il fallait </w:t>
      </w:r>
      <w:r w:rsidR="00772847" w:rsidRPr="00A66252">
        <w:rPr>
          <w:lang w:val="fr-FR"/>
        </w:rPr>
        <w:t>modifier la</w:t>
      </w:r>
      <w:r w:rsidRPr="00A66252">
        <w:rPr>
          <w:lang w:val="fr-FR"/>
        </w:rPr>
        <w:t xml:space="preserve"> chimiothérapie.</w:t>
      </w:r>
    </w:p>
    <w:p w:rsidR="00CD2EF5" w:rsidRPr="00A66252" w:rsidRDefault="00374206"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39</w:t>
      </w:r>
      <w:r w:rsidRPr="00A66252">
        <w:rPr>
          <w:lang w:val="fr-FR"/>
        </w:rPr>
        <w:fldChar w:fldCharType="end"/>
      </w:r>
      <w:r w:rsidRPr="00A66252">
        <w:rPr>
          <w:lang w:val="fr-FR"/>
        </w:rPr>
        <w:t>.  </w:t>
      </w:r>
      <w:r w:rsidR="00772847" w:rsidRPr="00A66252">
        <w:rPr>
          <w:lang w:val="fr-FR"/>
        </w:rPr>
        <w:t>En</w:t>
      </w:r>
      <w:r w:rsidR="00CD2EF5" w:rsidRPr="00A66252">
        <w:rPr>
          <w:lang w:val="fr-FR"/>
        </w:rPr>
        <w:t xml:space="preserve"> août 2011</w:t>
      </w:r>
      <w:r w:rsidR="00772847" w:rsidRPr="00A66252">
        <w:rPr>
          <w:lang w:val="fr-FR"/>
        </w:rPr>
        <w:t xml:space="preserve">, </w:t>
      </w:r>
      <w:r w:rsidR="00962208" w:rsidRPr="00A66252">
        <w:rPr>
          <w:lang w:val="fr-FR"/>
        </w:rPr>
        <w:t>l</w:t>
      </w:r>
      <w:r w:rsidR="00A66252" w:rsidRPr="00A66252">
        <w:rPr>
          <w:lang w:val="fr-FR"/>
        </w:rPr>
        <w:t>’</w:t>
      </w:r>
      <w:r w:rsidR="00962208" w:rsidRPr="00A66252">
        <w:rPr>
          <w:lang w:val="fr-FR"/>
        </w:rPr>
        <w:t>état de santé du requérant s</w:t>
      </w:r>
      <w:r w:rsidR="00A66252" w:rsidRPr="00A66252">
        <w:rPr>
          <w:lang w:val="fr-FR"/>
        </w:rPr>
        <w:t>’</w:t>
      </w:r>
      <w:r w:rsidR="00962208" w:rsidRPr="00A66252">
        <w:rPr>
          <w:lang w:val="fr-FR"/>
        </w:rPr>
        <w:t xml:space="preserve">aggrava et les médecins constatèrent que </w:t>
      </w:r>
      <w:r w:rsidR="00772847" w:rsidRPr="00A66252">
        <w:rPr>
          <w:lang w:val="fr-FR"/>
        </w:rPr>
        <w:t xml:space="preserve">la leucémie </w:t>
      </w:r>
      <w:r w:rsidR="00962208" w:rsidRPr="00A66252">
        <w:rPr>
          <w:lang w:val="fr-FR"/>
        </w:rPr>
        <w:t>était passée</w:t>
      </w:r>
      <w:r w:rsidR="00772847" w:rsidRPr="00A66252">
        <w:rPr>
          <w:lang w:val="fr-FR"/>
        </w:rPr>
        <w:t xml:space="preserve"> à</w:t>
      </w:r>
      <w:r w:rsidR="00CD2EF5" w:rsidRPr="00A66252">
        <w:rPr>
          <w:lang w:val="fr-FR"/>
        </w:rPr>
        <w:t xml:space="preserve"> un stade Binet C avec </w:t>
      </w:r>
      <w:proofErr w:type="spellStart"/>
      <w:r w:rsidR="00CD2EF5" w:rsidRPr="00A66252">
        <w:rPr>
          <w:lang w:val="fr-FR"/>
        </w:rPr>
        <w:t>anémie</w:t>
      </w:r>
      <w:proofErr w:type="spellEnd"/>
      <w:r w:rsidR="00CD2EF5" w:rsidRPr="00A66252">
        <w:rPr>
          <w:lang w:val="fr-FR"/>
        </w:rPr>
        <w:t xml:space="preserve"> et </w:t>
      </w:r>
      <w:proofErr w:type="spellStart"/>
      <w:r w:rsidR="00CD2EF5" w:rsidRPr="00A66252">
        <w:rPr>
          <w:lang w:val="fr-FR"/>
        </w:rPr>
        <w:t>adénopathie</w:t>
      </w:r>
      <w:proofErr w:type="spellEnd"/>
      <w:r w:rsidR="00CD2EF5" w:rsidRPr="00A66252">
        <w:rPr>
          <w:lang w:val="fr-FR"/>
        </w:rPr>
        <w:t xml:space="preserve"> multiple (espérance de vie à </w:t>
      </w:r>
      <w:r w:rsidR="00772847" w:rsidRPr="00A66252">
        <w:rPr>
          <w:lang w:val="fr-FR"/>
        </w:rPr>
        <w:t>vingt-quatre</w:t>
      </w:r>
      <w:r w:rsidR="00CD2EF5" w:rsidRPr="00A66252">
        <w:rPr>
          <w:lang w:val="fr-FR"/>
        </w:rPr>
        <w:t xml:space="preserve"> mois). </w:t>
      </w:r>
      <w:r w:rsidRPr="00A66252">
        <w:rPr>
          <w:lang w:val="fr-FR"/>
        </w:rPr>
        <w:t xml:space="preserve">Un changement de ligne de traitement chimiothérapique fut </w:t>
      </w:r>
      <w:r w:rsidR="009D52D4" w:rsidRPr="00A66252">
        <w:rPr>
          <w:lang w:val="fr-FR"/>
        </w:rPr>
        <w:t>décidé</w:t>
      </w:r>
      <w:r w:rsidRPr="00A66252">
        <w:rPr>
          <w:lang w:val="fr-FR"/>
        </w:rPr>
        <w:t>.</w:t>
      </w:r>
    </w:p>
    <w:p w:rsidR="00CD2EF5" w:rsidRPr="00A66252" w:rsidRDefault="00CD2EF5"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40</w:t>
      </w:r>
      <w:r w:rsidRPr="00A66252">
        <w:rPr>
          <w:lang w:val="fr-FR"/>
        </w:rPr>
        <w:fldChar w:fldCharType="end"/>
      </w:r>
      <w:r w:rsidRPr="00A66252">
        <w:rPr>
          <w:lang w:val="fr-FR"/>
        </w:rPr>
        <w:t>.  Le 12 septembre 2012, un médecin du service hématologie du centre hospitalier universitaire («</w:t>
      </w:r>
      <w:r w:rsidR="005145C4" w:rsidRPr="00A66252">
        <w:rPr>
          <w:lang w:val="fr-FR"/>
        </w:rPr>
        <w:t> CHU </w:t>
      </w:r>
      <w:r w:rsidRPr="00A66252">
        <w:rPr>
          <w:lang w:val="fr-FR"/>
        </w:rPr>
        <w:t>») St Pierre à Bruxelles, où était suivi le requérant</w:t>
      </w:r>
      <w:r w:rsidR="00374206" w:rsidRPr="00A66252">
        <w:rPr>
          <w:lang w:val="fr-FR"/>
        </w:rPr>
        <w:t xml:space="preserve">, désormais libéré (voir paragraphe </w:t>
      </w:r>
      <w:r w:rsidR="00154A8A" w:rsidRPr="00A66252">
        <w:rPr>
          <w:lang w:val="fr-FR"/>
        </w:rPr>
        <w:fldChar w:fldCharType="begin"/>
      </w:r>
      <w:r w:rsidR="00154A8A" w:rsidRPr="00A66252">
        <w:rPr>
          <w:lang w:val="fr-FR"/>
        </w:rPr>
        <w:instrText xml:space="preserve"> REF LIBERATION \h </w:instrText>
      </w:r>
      <w:r w:rsidR="0080142D" w:rsidRPr="00A66252">
        <w:rPr>
          <w:lang w:val="fr-FR"/>
        </w:rPr>
        <w:instrText xml:space="preserve"> \* MERGEFORMAT </w:instrText>
      </w:r>
      <w:r w:rsidR="00154A8A" w:rsidRPr="00A66252">
        <w:rPr>
          <w:lang w:val="fr-FR"/>
        </w:rPr>
      </w:r>
      <w:r w:rsidR="00154A8A" w:rsidRPr="00A66252">
        <w:rPr>
          <w:lang w:val="fr-FR"/>
        </w:rPr>
        <w:fldChar w:fldCharType="separate"/>
      </w:r>
      <w:r w:rsidR="00A66252" w:rsidRPr="00A66252">
        <w:rPr>
          <w:noProof/>
          <w:lang w:val="fr-FR"/>
        </w:rPr>
        <w:t>82</w:t>
      </w:r>
      <w:r w:rsidR="00154A8A" w:rsidRPr="00A66252">
        <w:rPr>
          <w:lang w:val="fr-FR"/>
        </w:rPr>
        <w:fldChar w:fldCharType="end"/>
      </w:r>
      <w:r w:rsidR="00374206" w:rsidRPr="00A66252">
        <w:rPr>
          <w:lang w:val="fr-FR"/>
        </w:rPr>
        <w:t>, ci-dess</w:t>
      </w:r>
      <w:r w:rsidR="005145C4" w:rsidRPr="00A66252">
        <w:rPr>
          <w:lang w:val="fr-FR"/>
        </w:rPr>
        <w:t>o</w:t>
      </w:r>
      <w:r w:rsidR="00374206" w:rsidRPr="00A66252">
        <w:rPr>
          <w:lang w:val="fr-FR"/>
        </w:rPr>
        <w:t>us)</w:t>
      </w:r>
      <w:r w:rsidRPr="00A66252">
        <w:rPr>
          <w:lang w:val="fr-FR"/>
        </w:rPr>
        <w:t>, établit un certificat en ces termes :</w:t>
      </w:r>
    </w:p>
    <w:p w:rsidR="00CD2EF5" w:rsidRPr="00A66252" w:rsidRDefault="005145C4" w:rsidP="00A66252">
      <w:pPr>
        <w:pStyle w:val="ECHRParaQuote"/>
        <w:rPr>
          <w:lang w:val="fr-FR"/>
        </w:rPr>
      </w:pPr>
      <w:r w:rsidRPr="00A66252">
        <w:rPr>
          <w:lang w:val="fr-FR"/>
        </w:rPr>
        <w:t>« </w:t>
      </w:r>
      <w:r w:rsidR="00CD2EF5" w:rsidRPr="00A66252">
        <w:rPr>
          <w:lang w:val="fr-FR"/>
        </w:rPr>
        <w:t>(...)</w:t>
      </w:r>
    </w:p>
    <w:p w:rsidR="00CD2EF5" w:rsidRPr="00A66252" w:rsidRDefault="00CD2EF5" w:rsidP="00A66252">
      <w:pPr>
        <w:pStyle w:val="ECHRParaQuote"/>
        <w:rPr>
          <w:lang w:val="fr-FR"/>
        </w:rPr>
      </w:pPr>
      <w:r w:rsidRPr="00A66252">
        <w:rPr>
          <w:lang w:val="fr-FR"/>
        </w:rPr>
        <w:t>D.</w:t>
      </w:r>
      <w:r w:rsidR="005145C4" w:rsidRPr="00A66252">
        <w:rPr>
          <w:lang w:val="fr-FR"/>
        </w:rPr>
        <w:t>  </w:t>
      </w:r>
      <w:r w:rsidRPr="00A66252">
        <w:rPr>
          <w:lang w:val="fr-FR"/>
        </w:rPr>
        <w:t>Complications possibles en cas d</w:t>
      </w:r>
      <w:r w:rsidR="00A66252" w:rsidRPr="00A66252">
        <w:rPr>
          <w:lang w:val="fr-FR"/>
        </w:rPr>
        <w:t>’</w:t>
      </w:r>
      <w:r w:rsidRPr="00A66252">
        <w:rPr>
          <w:lang w:val="fr-FR"/>
        </w:rPr>
        <w:t>arrêt thérapeutique. L</w:t>
      </w:r>
      <w:r w:rsidR="00A66252" w:rsidRPr="00A66252">
        <w:rPr>
          <w:lang w:val="fr-FR"/>
        </w:rPr>
        <w:t>’</w:t>
      </w:r>
      <w:r w:rsidRPr="00A66252">
        <w:rPr>
          <w:lang w:val="fr-FR"/>
        </w:rPr>
        <w:t>absence de traitement de l</w:t>
      </w:r>
      <w:r w:rsidR="00A66252" w:rsidRPr="00A66252">
        <w:rPr>
          <w:lang w:val="fr-FR"/>
        </w:rPr>
        <w:t>’</w:t>
      </w:r>
      <w:r w:rsidRPr="00A66252">
        <w:rPr>
          <w:lang w:val="fr-FR"/>
        </w:rPr>
        <w:t>affection hépatique et de l</w:t>
      </w:r>
      <w:r w:rsidR="00A66252" w:rsidRPr="00A66252">
        <w:rPr>
          <w:lang w:val="fr-FR"/>
        </w:rPr>
        <w:t>’</w:t>
      </w:r>
      <w:r w:rsidRPr="00A66252">
        <w:rPr>
          <w:lang w:val="fr-FR"/>
        </w:rPr>
        <w:t>affection pulmonaire pourrait résulter en des dommages d</w:t>
      </w:r>
      <w:r w:rsidR="00A66252" w:rsidRPr="00A66252">
        <w:rPr>
          <w:lang w:val="fr-FR"/>
        </w:rPr>
        <w:t>’</w:t>
      </w:r>
      <w:r w:rsidRPr="00A66252">
        <w:rPr>
          <w:lang w:val="fr-FR"/>
        </w:rPr>
        <w:t xml:space="preserve">organes et un handicap conséquent (insuffisance respiratoire, cirrhose et/ou </w:t>
      </w:r>
      <w:proofErr w:type="spellStart"/>
      <w:r w:rsidRPr="00A66252">
        <w:rPr>
          <w:lang w:val="fr-FR"/>
        </w:rPr>
        <w:t>hépatocarcinome</w:t>
      </w:r>
      <w:proofErr w:type="spellEnd"/>
      <w:r w:rsidRPr="00A66252">
        <w:rPr>
          <w:lang w:val="fr-FR"/>
        </w:rPr>
        <w:t>). L</w:t>
      </w:r>
      <w:r w:rsidR="00A66252" w:rsidRPr="00A66252">
        <w:rPr>
          <w:lang w:val="fr-FR"/>
        </w:rPr>
        <w:t>’</w:t>
      </w:r>
      <w:r w:rsidRPr="00A66252">
        <w:rPr>
          <w:lang w:val="fr-FR"/>
        </w:rPr>
        <w:t xml:space="preserve">absence de traitement de la </w:t>
      </w:r>
      <w:r w:rsidR="001148EB" w:rsidRPr="00A66252">
        <w:rPr>
          <w:lang w:val="fr-FR"/>
        </w:rPr>
        <w:t>[leucémie lymphoïde chronique]</w:t>
      </w:r>
      <w:r w:rsidRPr="00A66252">
        <w:rPr>
          <w:lang w:val="fr-FR"/>
        </w:rPr>
        <w:t xml:space="preserve"> pourrait mener au décès du patient des suites directes de la maladie ou des suites d</w:t>
      </w:r>
      <w:r w:rsidR="00A66252" w:rsidRPr="00A66252">
        <w:rPr>
          <w:lang w:val="fr-FR"/>
        </w:rPr>
        <w:t>’</w:t>
      </w:r>
      <w:r w:rsidRPr="00A66252">
        <w:rPr>
          <w:lang w:val="fr-FR"/>
        </w:rPr>
        <w:t>infections sévères.</w:t>
      </w:r>
    </w:p>
    <w:p w:rsidR="00CD2EF5" w:rsidRPr="00A66252" w:rsidRDefault="00CD2EF5" w:rsidP="00A66252">
      <w:pPr>
        <w:pStyle w:val="ECHRParaQuote"/>
        <w:rPr>
          <w:lang w:val="fr-FR"/>
        </w:rPr>
      </w:pPr>
      <w:r w:rsidRPr="00A66252">
        <w:rPr>
          <w:lang w:val="fr-FR"/>
        </w:rPr>
        <w:t>Tout retour en Géorgie condamnerait le patient à des traitements inhumains et dégradants.</w:t>
      </w:r>
    </w:p>
    <w:p w:rsidR="00CD2EF5" w:rsidRPr="00A66252" w:rsidRDefault="005145C4" w:rsidP="00A66252">
      <w:pPr>
        <w:pStyle w:val="ECHRParaQuote"/>
        <w:rPr>
          <w:lang w:val="fr-FR"/>
        </w:rPr>
      </w:pPr>
      <w:r w:rsidRPr="00A66252">
        <w:rPr>
          <w:lang w:val="fr-FR"/>
        </w:rPr>
        <w:t>E.  </w:t>
      </w:r>
      <w:r w:rsidR="001148EB" w:rsidRPr="00A66252">
        <w:rPr>
          <w:lang w:val="fr-FR"/>
        </w:rPr>
        <w:t xml:space="preserve">Évolution et pronostic. </w:t>
      </w:r>
      <w:r w:rsidR="00CD2EF5" w:rsidRPr="00A66252">
        <w:rPr>
          <w:lang w:val="fr-FR"/>
        </w:rPr>
        <w:t xml:space="preserve">Leucémie </w:t>
      </w:r>
      <w:r w:rsidR="00003D2C" w:rsidRPr="00A66252">
        <w:rPr>
          <w:lang w:val="fr-FR"/>
        </w:rPr>
        <w:t>lymphoïde</w:t>
      </w:r>
      <w:r w:rsidR="00CD2EF5" w:rsidRPr="00A66252">
        <w:rPr>
          <w:lang w:val="fr-FR"/>
        </w:rPr>
        <w:t xml:space="preserve"> chronique (LLC) : bon si traité mais le risque de rechute est réel et justifie même en rémission un suivi rapproché.</w:t>
      </w:r>
      <w:r w:rsidR="00962208" w:rsidRPr="00A66252">
        <w:rPr>
          <w:lang w:val="fr-FR"/>
        </w:rPr>
        <w:t xml:space="preserve"> (</w:t>
      </w:r>
      <w:r w:rsidR="009472B8" w:rsidRPr="00A66252">
        <w:rPr>
          <w:lang w:val="fr-FR"/>
        </w:rPr>
        <w:t>...</w:t>
      </w:r>
      <w:r w:rsidR="00962208" w:rsidRPr="00A66252">
        <w:rPr>
          <w:lang w:val="fr-FR"/>
        </w:rPr>
        <w:t>)</w:t>
      </w:r>
      <w:r w:rsidRPr="00A66252">
        <w:rPr>
          <w:lang w:val="fr-FR"/>
        </w:rPr>
        <w:t> </w:t>
      </w:r>
      <w:r w:rsidR="00CD2EF5" w:rsidRPr="00A66252">
        <w:rPr>
          <w:lang w:val="fr-FR"/>
        </w:rPr>
        <w:t>»</w:t>
      </w:r>
    </w:p>
    <w:p w:rsidR="00CD2EF5" w:rsidRPr="00A66252" w:rsidRDefault="00D42636" w:rsidP="00A66252">
      <w:pPr>
        <w:pStyle w:val="JuParaSub"/>
        <w:ind w:left="0"/>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41</w:t>
      </w:r>
      <w:r w:rsidRPr="00A66252">
        <w:rPr>
          <w:lang w:val="fr-FR"/>
        </w:rPr>
        <w:fldChar w:fldCharType="end"/>
      </w:r>
      <w:r w:rsidRPr="00A66252">
        <w:rPr>
          <w:lang w:val="fr-FR"/>
        </w:rPr>
        <w:t>. </w:t>
      </w:r>
      <w:r w:rsidR="00276F84" w:rsidRPr="00A66252">
        <w:rPr>
          <w:lang w:val="fr-FR"/>
        </w:rPr>
        <w:t> </w:t>
      </w:r>
      <w:r w:rsidRPr="00A66252">
        <w:rPr>
          <w:lang w:val="fr-FR"/>
        </w:rPr>
        <w:t>Après une rechute diagnostiquée courant 2013,</w:t>
      </w:r>
      <w:r w:rsidR="00CD2EF5" w:rsidRPr="00A66252">
        <w:rPr>
          <w:lang w:val="fr-FR"/>
        </w:rPr>
        <w:t xml:space="preserve"> les médecins du CHU St Pierre décelèrent</w:t>
      </w:r>
      <w:r w:rsidRPr="00A66252">
        <w:rPr>
          <w:lang w:val="fr-FR"/>
        </w:rPr>
        <w:t>,</w:t>
      </w:r>
      <w:r w:rsidR="00CD2EF5" w:rsidRPr="00A66252">
        <w:rPr>
          <w:lang w:val="fr-FR"/>
        </w:rPr>
        <w:t xml:space="preserve"> </w:t>
      </w:r>
      <w:r w:rsidRPr="00A66252">
        <w:rPr>
          <w:lang w:val="fr-FR"/>
        </w:rPr>
        <w:t xml:space="preserve">en mars 2014, </w:t>
      </w:r>
      <w:r w:rsidR="00CD2EF5" w:rsidRPr="00A66252">
        <w:rPr>
          <w:lang w:val="fr-FR"/>
        </w:rPr>
        <w:t xml:space="preserve">une transformation de la leucémie en lymphome </w:t>
      </w:r>
      <w:proofErr w:type="spellStart"/>
      <w:r w:rsidR="00CD2EF5" w:rsidRPr="00A66252">
        <w:rPr>
          <w:lang w:val="fr-FR"/>
        </w:rPr>
        <w:t>lymphocytique</w:t>
      </w:r>
      <w:proofErr w:type="spellEnd"/>
      <w:r w:rsidR="00CD2EF5" w:rsidRPr="00A66252">
        <w:rPr>
          <w:lang w:val="fr-FR"/>
        </w:rPr>
        <w:t xml:space="preserve"> et le traitement chimiothérapique fut adapté. Un PET Scan (tomographie par émissi</w:t>
      </w:r>
      <w:r w:rsidR="00B32D6C" w:rsidRPr="00A66252">
        <w:rPr>
          <w:lang w:val="fr-FR"/>
        </w:rPr>
        <w:t>on de positons), réalis</w:t>
      </w:r>
      <w:r w:rsidR="00940DBB" w:rsidRPr="00A66252">
        <w:rPr>
          <w:lang w:val="fr-FR"/>
        </w:rPr>
        <w:t>é</w:t>
      </w:r>
      <w:r w:rsidR="00B32D6C" w:rsidRPr="00A66252">
        <w:rPr>
          <w:lang w:val="fr-FR"/>
        </w:rPr>
        <w:t xml:space="preserve"> le 22 </w:t>
      </w:r>
      <w:r w:rsidR="00CD2EF5" w:rsidRPr="00A66252">
        <w:rPr>
          <w:lang w:val="fr-FR"/>
        </w:rPr>
        <w:t xml:space="preserve">septembre 2014, montra une absence de réponse à la </w:t>
      </w:r>
      <w:proofErr w:type="spellStart"/>
      <w:r w:rsidR="00CD2EF5" w:rsidRPr="00A66252">
        <w:rPr>
          <w:lang w:val="fr-FR"/>
        </w:rPr>
        <w:t>chimiothérapie</w:t>
      </w:r>
      <w:proofErr w:type="spellEnd"/>
      <w:r w:rsidR="00CD2EF5" w:rsidRPr="00A66252">
        <w:rPr>
          <w:lang w:val="fr-FR"/>
        </w:rPr>
        <w:t>, une progression au niveau des ganglions et du foie ainsi qu</w:t>
      </w:r>
      <w:r w:rsidR="00A66252" w:rsidRPr="00A66252">
        <w:rPr>
          <w:lang w:val="fr-FR"/>
        </w:rPr>
        <w:t>’</w:t>
      </w:r>
      <w:r w:rsidR="005145C4" w:rsidRPr="00A66252">
        <w:rPr>
          <w:lang w:val="fr-FR"/>
        </w:rPr>
        <w:t>une infection pulmonaire.</w:t>
      </w:r>
    </w:p>
    <w:p w:rsidR="00CD2EF5" w:rsidRPr="00A66252" w:rsidRDefault="00CD2EF5" w:rsidP="00A66252">
      <w:pPr>
        <w:pStyle w:val="JuParaSub"/>
        <w:ind w:left="0"/>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42</w:t>
      </w:r>
      <w:r w:rsidRPr="00A66252">
        <w:rPr>
          <w:lang w:val="fr-FR"/>
        </w:rPr>
        <w:fldChar w:fldCharType="end"/>
      </w:r>
      <w:r w:rsidRPr="00A66252">
        <w:rPr>
          <w:lang w:val="fr-FR"/>
        </w:rPr>
        <w:t>.  La prise en charge du requérant fut transférée à l</w:t>
      </w:r>
      <w:r w:rsidR="00A66252" w:rsidRPr="00A66252">
        <w:rPr>
          <w:lang w:val="fr-FR"/>
        </w:rPr>
        <w:t>’</w:t>
      </w:r>
      <w:r w:rsidRPr="00A66252">
        <w:rPr>
          <w:lang w:val="fr-FR"/>
        </w:rPr>
        <w:t>Institut Bordet à Bruxelles, hôpital entièrement consacré aux maladies cancéreuses.</w:t>
      </w:r>
    </w:p>
    <w:p w:rsidR="00A66252" w:rsidRPr="00A66252" w:rsidRDefault="00CD2EF5" w:rsidP="00A66252">
      <w:pPr>
        <w:pStyle w:val="JuParaSub"/>
        <w:ind w:left="0"/>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43</w:t>
      </w:r>
      <w:r w:rsidRPr="00A66252">
        <w:rPr>
          <w:lang w:val="fr-FR"/>
        </w:rPr>
        <w:fldChar w:fldCharType="end"/>
      </w:r>
      <w:r w:rsidRPr="00A66252">
        <w:rPr>
          <w:lang w:val="fr-FR"/>
        </w:rPr>
        <w:t>.  </w:t>
      </w:r>
      <w:r w:rsidR="00020705" w:rsidRPr="00A66252">
        <w:rPr>
          <w:lang w:val="fr-FR"/>
        </w:rPr>
        <w:t>En décembre 2014, le requérant commença à bénéficier d</w:t>
      </w:r>
      <w:r w:rsidR="00A66252" w:rsidRPr="00A66252">
        <w:rPr>
          <w:lang w:val="fr-FR"/>
        </w:rPr>
        <w:t>’</w:t>
      </w:r>
      <w:r w:rsidR="00020705" w:rsidRPr="00A66252">
        <w:rPr>
          <w:lang w:val="fr-FR"/>
        </w:rPr>
        <w:t>une nouvelle ligne de traitement dans le cadre d</w:t>
      </w:r>
      <w:r w:rsidR="00A66252" w:rsidRPr="00A66252">
        <w:rPr>
          <w:lang w:val="fr-FR"/>
        </w:rPr>
        <w:t>’</w:t>
      </w:r>
      <w:r w:rsidR="00020705" w:rsidRPr="00A66252">
        <w:rPr>
          <w:lang w:val="fr-FR"/>
        </w:rPr>
        <w:t>un programme d</w:t>
      </w:r>
      <w:r w:rsidR="00A66252" w:rsidRPr="00A66252">
        <w:rPr>
          <w:lang w:val="fr-FR"/>
        </w:rPr>
        <w:t>’</w:t>
      </w:r>
      <w:r w:rsidR="00020705" w:rsidRPr="00A66252">
        <w:rPr>
          <w:lang w:val="fr-FR"/>
        </w:rPr>
        <w:t>études. Il se vit administrer</w:t>
      </w:r>
      <w:r w:rsidRPr="00A66252">
        <w:rPr>
          <w:lang w:val="fr-FR"/>
        </w:rPr>
        <w:t xml:space="preserve"> </w:t>
      </w:r>
      <w:r w:rsidR="00020705" w:rsidRPr="00A66252">
        <w:rPr>
          <w:lang w:val="fr-FR"/>
        </w:rPr>
        <w:t>un</w:t>
      </w:r>
      <w:r w:rsidRPr="00A66252">
        <w:rPr>
          <w:lang w:val="fr-FR"/>
        </w:rPr>
        <w:t xml:space="preserve"> traitement par </w:t>
      </w:r>
      <w:proofErr w:type="spellStart"/>
      <w:r w:rsidRPr="00A66252">
        <w:rPr>
          <w:lang w:val="fr-FR"/>
        </w:rPr>
        <w:t>Ibrutinib</w:t>
      </w:r>
      <w:proofErr w:type="spellEnd"/>
      <w:r w:rsidRPr="00A66252">
        <w:rPr>
          <w:lang w:val="fr-FR"/>
        </w:rPr>
        <w:t xml:space="preserve"> afin notamment d</w:t>
      </w:r>
      <w:r w:rsidR="00A66252" w:rsidRPr="00A66252">
        <w:rPr>
          <w:lang w:val="fr-FR"/>
        </w:rPr>
        <w:t>’</w:t>
      </w:r>
      <w:r w:rsidRPr="00A66252">
        <w:rPr>
          <w:lang w:val="fr-FR"/>
        </w:rPr>
        <w:t>améliorer son état général, altéré par des complications ponctuelles liées aux traitements (</w:t>
      </w:r>
      <w:proofErr w:type="spellStart"/>
      <w:r w:rsidRPr="00A66252">
        <w:rPr>
          <w:lang w:val="fr-FR"/>
        </w:rPr>
        <w:t>fongémie</w:t>
      </w:r>
      <w:proofErr w:type="spellEnd"/>
      <w:r w:rsidRPr="00A66252">
        <w:rPr>
          <w:lang w:val="fr-FR"/>
        </w:rPr>
        <w:t xml:space="preserve">, infections pulmonaires, septicémie et cholécystite </w:t>
      </w:r>
      <w:r w:rsidR="009D52D4" w:rsidRPr="00A66252">
        <w:rPr>
          <w:lang w:val="fr-FR"/>
        </w:rPr>
        <w:t xml:space="preserve">nécessitant des </w:t>
      </w:r>
      <w:r w:rsidRPr="00A66252">
        <w:rPr>
          <w:lang w:val="fr-FR"/>
        </w:rPr>
        <w:t>hospitalisations</w:t>
      </w:r>
      <w:r w:rsidR="009D52D4" w:rsidRPr="00A66252">
        <w:rPr>
          <w:lang w:val="fr-FR"/>
        </w:rPr>
        <w:t xml:space="preserve"> régulières</w:t>
      </w:r>
      <w:r w:rsidRPr="00A66252">
        <w:rPr>
          <w:lang w:val="fr-FR"/>
        </w:rPr>
        <w:t xml:space="preserve">). Ce traitement </w:t>
      </w:r>
      <w:r w:rsidR="00D26334" w:rsidRPr="00A66252">
        <w:rPr>
          <w:lang w:val="fr-FR"/>
        </w:rPr>
        <w:t>fut</w:t>
      </w:r>
      <w:r w:rsidRPr="00A66252">
        <w:rPr>
          <w:lang w:val="fr-FR"/>
        </w:rPr>
        <w:t xml:space="preserve"> prescrit </w:t>
      </w:r>
      <w:r w:rsidR="009D52D4" w:rsidRPr="00A66252">
        <w:rPr>
          <w:lang w:val="fr-FR"/>
        </w:rPr>
        <w:t>afin d</w:t>
      </w:r>
      <w:r w:rsidR="00A66252" w:rsidRPr="00A66252">
        <w:rPr>
          <w:lang w:val="fr-FR"/>
        </w:rPr>
        <w:t>’</w:t>
      </w:r>
      <w:r w:rsidR="009D52D4" w:rsidRPr="00A66252">
        <w:rPr>
          <w:lang w:val="fr-FR"/>
        </w:rPr>
        <w:t>améliorer l</w:t>
      </w:r>
      <w:r w:rsidR="00A66252" w:rsidRPr="00A66252">
        <w:rPr>
          <w:lang w:val="fr-FR"/>
        </w:rPr>
        <w:t>’</w:t>
      </w:r>
      <w:r w:rsidR="009D52D4" w:rsidRPr="00A66252">
        <w:rPr>
          <w:lang w:val="fr-FR"/>
        </w:rPr>
        <w:t xml:space="preserve">état général du requérant </w:t>
      </w:r>
      <w:r w:rsidRPr="00A66252">
        <w:rPr>
          <w:lang w:val="fr-FR"/>
        </w:rPr>
        <w:t>en vue de la préparation à la réalisation d</w:t>
      </w:r>
      <w:r w:rsidR="00A66252" w:rsidRPr="00A66252">
        <w:rPr>
          <w:lang w:val="fr-FR"/>
        </w:rPr>
        <w:t>’</w:t>
      </w:r>
      <w:r w:rsidRPr="00A66252">
        <w:rPr>
          <w:lang w:val="fr-FR"/>
        </w:rPr>
        <w:t>une allogreffe de cellules souche.</w:t>
      </w:r>
    </w:p>
    <w:p w:rsidR="00A66252" w:rsidRPr="00A66252" w:rsidRDefault="00D26334" w:rsidP="00A66252">
      <w:pPr>
        <w:pStyle w:val="JuParaSub"/>
        <w:ind w:left="0"/>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44</w:t>
      </w:r>
      <w:r w:rsidRPr="00A66252">
        <w:rPr>
          <w:lang w:val="fr-FR"/>
        </w:rPr>
        <w:fldChar w:fldCharType="end"/>
      </w:r>
      <w:r w:rsidRPr="00A66252">
        <w:rPr>
          <w:lang w:val="fr-FR"/>
        </w:rPr>
        <w:t>.  </w:t>
      </w:r>
      <w:r w:rsidR="00CD2EF5" w:rsidRPr="00A66252">
        <w:rPr>
          <w:lang w:val="fr-FR"/>
        </w:rPr>
        <w:t>Un certificat médical établi le 25 mai 2015 par le médecin traitant spécialiste du requérant, le Dr L</w:t>
      </w:r>
      <w:r w:rsidR="00772847" w:rsidRPr="00A66252">
        <w:rPr>
          <w:lang w:val="fr-FR"/>
        </w:rPr>
        <w:t>.</w:t>
      </w:r>
      <w:r w:rsidR="00CD2EF5" w:rsidRPr="00A66252">
        <w:rPr>
          <w:lang w:val="fr-FR"/>
        </w:rPr>
        <w:t xml:space="preserve">, </w:t>
      </w:r>
      <w:r w:rsidR="00873E2A" w:rsidRPr="00A66252">
        <w:rPr>
          <w:lang w:val="fr-FR"/>
        </w:rPr>
        <w:t>chef de clinique</w:t>
      </w:r>
      <w:r w:rsidR="00CD2EF5" w:rsidRPr="00A66252">
        <w:rPr>
          <w:lang w:val="fr-FR"/>
        </w:rPr>
        <w:t xml:space="preserve"> du laboratoire d</w:t>
      </w:r>
      <w:r w:rsidR="00A66252" w:rsidRPr="00A66252">
        <w:rPr>
          <w:lang w:val="fr-FR"/>
        </w:rPr>
        <w:t>’</w:t>
      </w:r>
      <w:r w:rsidR="00CD2EF5" w:rsidRPr="00A66252">
        <w:rPr>
          <w:lang w:val="fr-FR"/>
        </w:rPr>
        <w:t>hématologie expérimentale de l</w:t>
      </w:r>
      <w:r w:rsidR="00A66252" w:rsidRPr="00A66252">
        <w:rPr>
          <w:lang w:val="fr-FR"/>
        </w:rPr>
        <w:t>’</w:t>
      </w:r>
      <w:r w:rsidR="00CD2EF5" w:rsidRPr="00A66252">
        <w:rPr>
          <w:lang w:val="fr-FR"/>
        </w:rPr>
        <w:t>Institut Bordet, attest</w:t>
      </w:r>
      <w:r w:rsidRPr="00A66252">
        <w:rPr>
          <w:lang w:val="fr-FR"/>
        </w:rPr>
        <w:t>a</w:t>
      </w:r>
      <w:r w:rsidR="00CD2EF5" w:rsidRPr="00A66252">
        <w:rPr>
          <w:lang w:val="fr-FR"/>
        </w:rPr>
        <w:t xml:space="preserve"> que </w:t>
      </w:r>
      <w:r w:rsidR="00374206" w:rsidRPr="00A66252">
        <w:rPr>
          <w:lang w:val="fr-FR"/>
        </w:rPr>
        <w:t xml:space="preserve">la charge virale était stable. Il soulignait que </w:t>
      </w:r>
      <w:r w:rsidR="00CD2EF5" w:rsidRPr="00A66252">
        <w:rPr>
          <w:lang w:val="fr-FR"/>
        </w:rPr>
        <w:t>l</w:t>
      </w:r>
      <w:r w:rsidR="00A66252" w:rsidRPr="00A66252">
        <w:rPr>
          <w:lang w:val="fr-FR"/>
        </w:rPr>
        <w:t>’</w:t>
      </w:r>
      <w:r w:rsidR="00CD2EF5" w:rsidRPr="00A66252">
        <w:rPr>
          <w:lang w:val="fr-FR"/>
        </w:rPr>
        <w:t xml:space="preserve">arrêt du traitement occasionnerait le </w:t>
      </w:r>
      <w:r w:rsidR="00CD2EF5" w:rsidRPr="00A66252">
        <w:rPr>
          <w:lang w:val="fr-FR"/>
        </w:rPr>
        <w:lastRenderedPageBreak/>
        <w:t>décès du patient. En raison de son immunodépression et de l</w:t>
      </w:r>
      <w:r w:rsidR="00A66252" w:rsidRPr="00A66252">
        <w:rPr>
          <w:lang w:val="fr-FR"/>
        </w:rPr>
        <w:t>’</w:t>
      </w:r>
      <w:r w:rsidR="00CD2EF5" w:rsidRPr="00A66252">
        <w:rPr>
          <w:lang w:val="fr-FR"/>
        </w:rPr>
        <w:t>agressivit</w:t>
      </w:r>
      <w:r w:rsidR="00940DBB" w:rsidRPr="00A66252">
        <w:rPr>
          <w:lang w:val="fr-FR"/>
        </w:rPr>
        <w:t>é</w:t>
      </w:r>
      <w:r w:rsidR="00CD2EF5" w:rsidRPr="00A66252">
        <w:rPr>
          <w:lang w:val="fr-FR"/>
        </w:rPr>
        <w:t xml:space="preserve"> de sa leucémie, un suivi en milieu spécialis</w:t>
      </w:r>
      <w:r w:rsidR="00940DBB" w:rsidRPr="00A66252">
        <w:rPr>
          <w:lang w:val="fr-FR"/>
        </w:rPr>
        <w:t>é</w:t>
      </w:r>
      <w:r w:rsidR="00CD2EF5" w:rsidRPr="00A66252">
        <w:rPr>
          <w:lang w:val="fr-FR"/>
        </w:rPr>
        <w:t xml:space="preserve"> d</w:t>
      </w:r>
      <w:r w:rsidR="00A66252" w:rsidRPr="00A66252">
        <w:rPr>
          <w:lang w:val="fr-FR"/>
        </w:rPr>
        <w:t>’</w:t>
      </w:r>
      <w:r w:rsidR="00CD2EF5" w:rsidRPr="00A66252">
        <w:rPr>
          <w:lang w:val="fr-FR"/>
        </w:rPr>
        <w:t xml:space="preserve">hématologie </w:t>
      </w:r>
      <w:r w:rsidR="009D52D4" w:rsidRPr="00A66252">
        <w:rPr>
          <w:lang w:val="fr-FR"/>
        </w:rPr>
        <w:t xml:space="preserve">était </w:t>
      </w:r>
      <w:r w:rsidR="00CD2EF5" w:rsidRPr="00A66252">
        <w:rPr>
          <w:lang w:val="fr-FR"/>
        </w:rPr>
        <w:t>nécessaire, de même que l</w:t>
      </w:r>
      <w:r w:rsidR="00A66252" w:rsidRPr="00A66252">
        <w:rPr>
          <w:lang w:val="fr-FR"/>
        </w:rPr>
        <w:t>’</w:t>
      </w:r>
      <w:r w:rsidR="00CD2EF5" w:rsidRPr="00A66252">
        <w:rPr>
          <w:lang w:val="fr-FR"/>
        </w:rPr>
        <w:t xml:space="preserve">allogreffe, seule option à visée curative qui </w:t>
      </w:r>
      <w:r w:rsidRPr="00A66252">
        <w:rPr>
          <w:lang w:val="fr-FR"/>
        </w:rPr>
        <w:t>pou</w:t>
      </w:r>
      <w:r w:rsidR="009D52D4" w:rsidRPr="00A66252">
        <w:rPr>
          <w:lang w:val="fr-FR"/>
        </w:rPr>
        <w:t>v</w:t>
      </w:r>
      <w:r w:rsidRPr="00A66252">
        <w:rPr>
          <w:lang w:val="fr-FR"/>
        </w:rPr>
        <w:t>ait</w:t>
      </w:r>
      <w:r w:rsidR="00CD2EF5" w:rsidRPr="00A66252">
        <w:rPr>
          <w:lang w:val="fr-FR"/>
        </w:rPr>
        <w:t xml:space="preserve"> encore lui </w:t>
      </w:r>
      <w:r w:rsidR="009D52D4" w:rsidRPr="00A66252">
        <w:rPr>
          <w:lang w:val="fr-FR"/>
        </w:rPr>
        <w:t xml:space="preserve">être </w:t>
      </w:r>
      <w:r w:rsidR="00CD2EF5" w:rsidRPr="00A66252">
        <w:rPr>
          <w:lang w:val="fr-FR"/>
        </w:rPr>
        <w:t>proposée à condition d</w:t>
      </w:r>
      <w:r w:rsidR="00A66252" w:rsidRPr="00A66252">
        <w:rPr>
          <w:lang w:val="fr-FR"/>
        </w:rPr>
        <w:t>’</w:t>
      </w:r>
      <w:r w:rsidR="005145C4" w:rsidRPr="00A66252">
        <w:rPr>
          <w:lang w:val="fr-FR"/>
        </w:rPr>
        <w:t>être réalisée pendant la « </w:t>
      </w:r>
      <w:r w:rsidR="00CD2EF5" w:rsidRPr="00A66252">
        <w:rPr>
          <w:lang w:val="fr-FR"/>
        </w:rPr>
        <w:t>fenêtre de réponse</w:t>
      </w:r>
      <w:r w:rsidR="005145C4" w:rsidRPr="00A66252">
        <w:rPr>
          <w:lang w:val="fr-FR"/>
        </w:rPr>
        <w:t> </w:t>
      </w:r>
      <w:r w:rsidR="00CD2EF5" w:rsidRPr="00A66252">
        <w:rPr>
          <w:lang w:val="fr-FR"/>
        </w:rPr>
        <w:t>» à l</w:t>
      </w:r>
      <w:r w:rsidR="00A66252" w:rsidRPr="00A66252">
        <w:rPr>
          <w:lang w:val="fr-FR"/>
        </w:rPr>
        <w:t>’</w:t>
      </w:r>
      <w:proofErr w:type="spellStart"/>
      <w:r w:rsidR="00CD2EF5" w:rsidRPr="00A66252">
        <w:rPr>
          <w:lang w:val="fr-FR"/>
        </w:rPr>
        <w:t>Ibrutinib</w:t>
      </w:r>
      <w:proofErr w:type="spellEnd"/>
      <w:r w:rsidR="00CD2EF5" w:rsidRPr="00A66252">
        <w:rPr>
          <w:lang w:val="fr-FR"/>
        </w:rPr>
        <w:t>, c</w:t>
      </w:r>
      <w:r w:rsidR="00A66252" w:rsidRPr="00A66252">
        <w:rPr>
          <w:lang w:val="fr-FR"/>
        </w:rPr>
        <w:t>’</w:t>
      </w:r>
      <w:r w:rsidR="00CD2EF5" w:rsidRPr="00A66252">
        <w:rPr>
          <w:lang w:val="fr-FR"/>
        </w:rPr>
        <w:t>est-à-dire dans les deux ans.</w:t>
      </w:r>
    </w:p>
    <w:p w:rsidR="00A66252" w:rsidRPr="00A66252" w:rsidRDefault="009D52D4" w:rsidP="00A66252">
      <w:pPr>
        <w:pStyle w:val="JuParaSub"/>
        <w:ind w:left="0"/>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45</w:t>
      </w:r>
      <w:r w:rsidRPr="00A66252">
        <w:rPr>
          <w:lang w:val="fr-FR"/>
        </w:rPr>
        <w:fldChar w:fldCharType="end"/>
      </w:r>
      <w:r w:rsidRPr="00A66252">
        <w:rPr>
          <w:lang w:val="fr-FR"/>
        </w:rPr>
        <w:t>.  Le requérant indique que, p</w:t>
      </w:r>
      <w:r w:rsidR="00CD2EF5" w:rsidRPr="00A66252">
        <w:rPr>
          <w:lang w:val="fr-FR"/>
        </w:rPr>
        <w:t>révue initialement pour avril 2015, l</w:t>
      </w:r>
      <w:r w:rsidR="00A66252" w:rsidRPr="00A66252">
        <w:rPr>
          <w:lang w:val="fr-FR"/>
        </w:rPr>
        <w:t>’</w:t>
      </w:r>
      <w:r w:rsidR="00CD2EF5" w:rsidRPr="00A66252">
        <w:rPr>
          <w:lang w:val="fr-FR"/>
        </w:rPr>
        <w:t>allogreffe n</w:t>
      </w:r>
      <w:r w:rsidR="00A66252" w:rsidRPr="00A66252">
        <w:rPr>
          <w:lang w:val="fr-FR"/>
        </w:rPr>
        <w:t>’</w:t>
      </w:r>
      <w:r w:rsidR="00CD2EF5" w:rsidRPr="00A66252">
        <w:rPr>
          <w:lang w:val="fr-FR"/>
        </w:rPr>
        <w:t xml:space="preserve">a pas encore pu être réalisée car </w:t>
      </w:r>
      <w:r w:rsidRPr="00A66252">
        <w:rPr>
          <w:lang w:val="fr-FR"/>
        </w:rPr>
        <w:t xml:space="preserve">il </w:t>
      </w:r>
      <w:r w:rsidR="00D26334" w:rsidRPr="00A66252">
        <w:rPr>
          <w:lang w:val="fr-FR"/>
        </w:rPr>
        <w:t>ne dispose</w:t>
      </w:r>
      <w:r w:rsidR="00CD2EF5" w:rsidRPr="00A66252">
        <w:rPr>
          <w:lang w:val="fr-FR"/>
        </w:rPr>
        <w:t xml:space="preserve"> </w:t>
      </w:r>
      <w:r w:rsidR="00D26334" w:rsidRPr="00A66252">
        <w:rPr>
          <w:lang w:val="fr-FR"/>
        </w:rPr>
        <w:t>pas du</w:t>
      </w:r>
      <w:r w:rsidR="00CD2EF5" w:rsidRPr="00A66252">
        <w:rPr>
          <w:lang w:val="fr-FR"/>
        </w:rPr>
        <w:t xml:space="preserve"> titre de séjour en Belgique requis par la loi du 13 juin 1986 sur le prélèvement et la transplantation d</w:t>
      </w:r>
      <w:r w:rsidR="00A66252" w:rsidRPr="00A66252">
        <w:rPr>
          <w:lang w:val="fr-FR"/>
        </w:rPr>
        <w:t>’</w:t>
      </w:r>
      <w:r w:rsidR="00CD2EF5" w:rsidRPr="00A66252">
        <w:rPr>
          <w:lang w:val="fr-FR"/>
        </w:rPr>
        <w:t>organes.</w:t>
      </w:r>
    </w:p>
    <w:bookmarkStart w:id="5" w:name="LIFEEXP"/>
    <w:p w:rsidR="00CD2EF5" w:rsidRPr="00A66252" w:rsidRDefault="00374206"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46</w:t>
      </w:r>
      <w:r w:rsidRPr="00A66252">
        <w:rPr>
          <w:szCs w:val="24"/>
          <w:lang w:val="fr-FR"/>
        </w:rPr>
        <w:fldChar w:fldCharType="end"/>
      </w:r>
      <w:bookmarkEnd w:id="5"/>
      <w:r w:rsidRPr="00A66252">
        <w:rPr>
          <w:szCs w:val="24"/>
          <w:lang w:val="fr-FR"/>
        </w:rPr>
        <w:t>.  </w:t>
      </w:r>
      <w:r w:rsidR="00CD2EF5" w:rsidRPr="00A66252">
        <w:rPr>
          <w:szCs w:val="24"/>
          <w:lang w:val="fr-FR"/>
        </w:rPr>
        <w:t>Le 14 juillet 2015, un nouveau rapport médical fut établi par le Dr L</w:t>
      </w:r>
      <w:r w:rsidR="00772847" w:rsidRPr="00A66252">
        <w:rPr>
          <w:szCs w:val="24"/>
          <w:lang w:val="fr-FR"/>
        </w:rPr>
        <w:t>.</w:t>
      </w:r>
      <w:r w:rsidR="00CD2EF5" w:rsidRPr="00A66252">
        <w:rPr>
          <w:szCs w:val="24"/>
          <w:lang w:val="fr-FR"/>
        </w:rPr>
        <w:t xml:space="preserve"> en ces termes :</w:t>
      </w:r>
    </w:p>
    <w:p w:rsidR="00CD2EF5" w:rsidRPr="00A66252" w:rsidRDefault="00CD2EF5" w:rsidP="00A66252">
      <w:pPr>
        <w:pStyle w:val="JuQuotSub"/>
        <w:rPr>
          <w:lang w:val="fr-FR"/>
        </w:rPr>
      </w:pPr>
      <w:r w:rsidRPr="00A66252">
        <w:rPr>
          <w:lang w:val="fr-FR"/>
        </w:rPr>
        <w:t xml:space="preserve">« Concernant la </w:t>
      </w:r>
      <w:r w:rsidR="00D735AA" w:rsidRPr="00A66252">
        <w:rPr>
          <w:lang w:val="fr-FR"/>
        </w:rPr>
        <w:t xml:space="preserve">LLC </w:t>
      </w:r>
      <w:r w:rsidR="005145C4" w:rsidRPr="00A66252">
        <w:rPr>
          <w:lang w:val="fr-FR"/>
        </w:rPr>
        <w:t>[leucémie lymphoïde chronique]</w:t>
      </w:r>
    </w:p>
    <w:p w:rsidR="00CD2EF5" w:rsidRPr="00A66252" w:rsidRDefault="00CD2EF5" w:rsidP="00A66252">
      <w:pPr>
        <w:pStyle w:val="ECHRParaQuote"/>
        <w:rPr>
          <w:lang w:val="fr-FR"/>
        </w:rPr>
      </w:pPr>
      <w:r w:rsidRPr="00A66252">
        <w:rPr>
          <w:lang w:val="fr-FR"/>
        </w:rPr>
        <w:t>(</w:t>
      </w:r>
      <w:r w:rsidR="009472B8" w:rsidRPr="00A66252">
        <w:rPr>
          <w:lang w:val="fr-FR"/>
        </w:rPr>
        <w:t>...</w:t>
      </w:r>
      <w:r w:rsidRPr="00A66252">
        <w:rPr>
          <w:lang w:val="fr-FR"/>
        </w:rPr>
        <w:t>)</w:t>
      </w:r>
    </w:p>
    <w:p w:rsidR="00CD2EF5" w:rsidRPr="00A66252" w:rsidRDefault="00CD2EF5" w:rsidP="00A66252">
      <w:pPr>
        <w:pStyle w:val="ECHRParaQuote"/>
        <w:rPr>
          <w:lang w:val="fr-FR"/>
        </w:rPr>
      </w:pPr>
      <w:r w:rsidRPr="00A66252">
        <w:rPr>
          <w:lang w:val="fr-FR"/>
        </w:rPr>
        <w:t>Le patient souffre d</w:t>
      </w:r>
      <w:r w:rsidR="00A66252" w:rsidRPr="00A66252">
        <w:rPr>
          <w:lang w:val="fr-FR"/>
        </w:rPr>
        <w:t>’</w:t>
      </w:r>
      <w:r w:rsidRPr="00A66252">
        <w:rPr>
          <w:lang w:val="fr-FR"/>
        </w:rPr>
        <w:t xml:space="preserve">une </w:t>
      </w:r>
      <w:r w:rsidR="00D735AA" w:rsidRPr="00A66252">
        <w:rPr>
          <w:lang w:val="fr-FR"/>
        </w:rPr>
        <w:t>LLC</w:t>
      </w:r>
      <w:r w:rsidR="001148EB" w:rsidRPr="00A66252">
        <w:rPr>
          <w:lang w:val="fr-FR"/>
        </w:rPr>
        <w:t xml:space="preserve"> </w:t>
      </w:r>
      <w:r w:rsidRPr="00A66252">
        <w:rPr>
          <w:lang w:val="fr-FR"/>
        </w:rPr>
        <w:t>avec 9 ans d</w:t>
      </w:r>
      <w:r w:rsidR="00A66252" w:rsidRPr="00A66252">
        <w:rPr>
          <w:lang w:val="fr-FR"/>
        </w:rPr>
        <w:t>’</w:t>
      </w:r>
      <w:r w:rsidRPr="00A66252">
        <w:rPr>
          <w:lang w:val="fr-FR"/>
        </w:rPr>
        <w:t xml:space="preserve">évolution (diagnostic 2006) et déjà en 2011 un stade C et </w:t>
      </w:r>
      <w:r w:rsidR="00D735AA" w:rsidRPr="00A66252">
        <w:rPr>
          <w:lang w:val="fr-FR"/>
        </w:rPr>
        <w:t>RAI IV</w:t>
      </w:r>
      <w:r w:rsidR="00472AB3" w:rsidRPr="00A66252">
        <w:rPr>
          <w:lang w:val="fr-FR"/>
        </w:rPr>
        <w:t xml:space="preserve"> </w:t>
      </w:r>
      <w:r w:rsidR="0057474C" w:rsidRPr="00A66252">
        <w:rPr>
          <w:lang w:val="fr-FR"/>
        </w:rPr>
        <w:t xml:space="preserve">[stade IV selon les critères de </w:t>
      </w:r>
      <w:r w:rsidR="0057474C" w:rsidRPr="00A66252">
        <w:rPr>
          <w:bCs/>
          <w:lang w:val="fr-FR"/>
        </w:rPr>
        <w:t>Rai</w:t>
      </w:r>
      <w:r w:rsidR="0057474C" w:rsidRPr="00A66252">
        <w:rPr>
          <w:lang w:val="fr-FR"/>
        </w:rPr>
        <w:t>]</w:t>
      </w:r>
      <w:r w:rsidRPr="00A66252">
        <w:rPr>
          <w:lang w:val="fr-FR"/>
        </w:rPr>
        <w:t>. Le patient a déjà eu trois lignes de traitement avant l</w:t>
      </w:r>
      <w:r w:rsidR="00A66252" w:rsidRPr="00A66252">
        <w:rPr>
          <w:lang w:val="fr-FR"/>
        </w:rPr>
        <w:t>’</w:t>
      </w:r>
      <w:proofErr w:type="spellStart"/>
      <w:r w:rsidRPr="00A66252">
        <w:rPr>
          <w:lang w:val="fr-FR"/>
        </w:rPr>
        <w:t>Ibrutinib</w:t>
      </w:r>
      <w:proofErr w:type="spellEnd"/>
      <w:r w:rsidRPr="00A66252">
        <w:rPr>
          <w:lang w:val="fr-FR"/>
        </w:rPr>
        <w:t xml:space="preserve"> qu</w:t>
      </w:r>
      <w:r w:rsidR="00A66252" w:rsidRPr="00A66252">
        <w:rPr>
          <w:lang w:val="fr-FR"/>
        </w:rPr>
        <w:t>’</w:t>
      </w:r>
      <w:r w:rsidRPr="00A66252">
        <w:rPr>
          <w:lang w:val="fr-FR"/>
        </w:rPr>
        <w:t>il prend actuellement et était réfractaire à la troisième ligne de chimiothérapie par R-CVP.</w:t>
      </w:r>
    </w:p>
    <w:p w:rsidR="00CD2EF5" w:rsidRPr="00A66252" w:rsidRDefault="00CD2EF5" w:rsidP="00A66252">
      <w:pPr>
        <w:pStyle w:val="ECHRParaQuote"/>
        <w:rPr>
          <w:lang w:val="fr-FR"/>
        </w:rPr>
      </w:pPr>
      <w:r w:rsidRPr="00A66252">
        <w:rPr>
          <w:lang w:val="fr-FR"/>
        </w:rPr>
        <w:t>Dans sa situation, la littérature médicale nous apprend que si l</w:t>
      </w:r>
      <w:r w:rsidR="00A66252" w:rsidRPr="00A66252">
        <w:rPr>
          <w:lang w:val="fr-FR"/>
        </w:rPr>
        <w:t>’</w:t>
      </w:r>
      <w:proofErr w:type="spellStart"/>
      <w:r w:rsidRPr="00A66252">
        <w:rPr>
          <w:lang w:val="fr-FR"/>
        </w:rPr>
        <w:t>Ibrutinib</w:t>
      </w:r>
      <w:proofErr w:type="spellEnd"/>
      <w:r w:rsidRPr="00A66252">
        <w:rPr>
          <w:lang w:val="fr-FR"/>
        </w:rPr>
        <w:t xml:space="preserve"> devait être arrêté, l</w:t>
      </w:r>
      <w:r w:rsidR="00A66252" w:rsidRPr="00A66252">
        <w:rPr>
          <w:lang w:val="fr-FR"/>
        </w:rPr>
        <w:t>’</w:t>
      </w:r>
      <w:r w:rsidRPr="00A66252">
        <w:rPr>
          <w:lang w:val="fr-FR"/>
        </w:rPr>
        <w:t>espérance de vie moyenne est de 3 mois. (</w:t>
      </w:r>
      <w:r w:rsidR="009472B8" w:rsidRPr="00A66252">
        <w:rPr>
          <w:lang w:val="fr-FR"/>
        </w:rPr>
        <w:t>...</w:t>
      </w:r>
      <w:r w:rsidRPr="00A66252">
        <w:rPr>
          <w:lang w:val="fr-FR"/>
        </w:rPr>
        <w:t>)</w:t>
      </w:r>
    </w:p>
    <w:p w:rsidR="00CD2EF5" w:rsidRPr="00A66252" w:rsidRDefault="00CD2EF5" w:rsidP="00A66252">
      <w:pPr>
        <w:pStyle w:val="ECHRParaQuote"/>
        <w:rPr>
          <w:lang w:val="fr-FR"/>
        </w:rPr>
      </w:pPr>
      <w:r w:rsidRPr="00A66252">
        <w:rPr>
          <w:lang w:val="fr-FR"/>
        </w:rPr>
        <w:t xml:space="preserve">La littérature montre également que sous </w:t>
      </w:r>
      <w:proofErr w:type="spellStart"/>
      <w:r w:rsidRPr="00A66252">
        <w:rPr>
          <w:lang w:val="fr-FR"/>
        </w:rPr>
        <w:t>Ibrutinib</w:t>
      </w:r>
      <w:proofErr w:type="spellEnd"/>
      <w:r w:rsidRPr="00A66252">
        <w:rPr>
          <w:lang w:val="fr-FR"/>
        </w:rPr>
        <w:t xml:space="preserve"> seuls 7 % des patients atteignent une rémission complète. M. </w:t>
      </w:r>
      <w:proofErr w:type="spellStart"/>
      <w:r w:rsidRPr="00A66252">
        <w:rPr>
          <w:lang w:val="fr-FR"/>
        </w:rPr>
        <w:t>Paposhvili</w:t>
      </w:r>
      <w:proofErr w:type="spellEnd"/>
      <w:r w:rsidRPr="00A66252">
        <w:rPr>
          <w:lang w:val="fr-FR"/>
        </w:rPr>
        <w:t xml:space="preserve"> est actuellement en rémission partielle et donc totalement dépendant du traitement. Il s</w:t>
      </w:r>
      <w:r w:rsidR="00A66252" w:rsidRPr="00A66252">
        <w:rPr>
          <w:lang w:val="fr-FR"/>
        </w:rPr>
        <w:t>’</w:t>
      </w:r>
      <w:r w:rsidRPr="00A66252">
        <w:rPr>
          <w:lang w:val="fr-FR"/>
        </w:rPr>
        <w:t>agit d</w:t>
      </w:r>
      <w:r w:rsidR="00A66252" w:rsidRPr="00A66252">
        <w:rPr>
          <w:lang w:val="fr-FR"/>
        </w:rPr>
        <w:t>’</w:t>
      </w:r>
      <w:r w:rsidRPr="00A66252">
        <w:rPr>
          <w:lang w:val="fr-FR"/>
        </w:rPr>
        <w:t>une nouvelle thérapie ciblée à laquelle il ne peut avoir accès dans son pays d</w:t>
      </w:r>
      <w:r w:rsidR="00A66252" w:rsidRPr="00A66252">
        <w:rPr>
          <w:lang w:val="fr-FR"/>
        </w:rPr>
        <w:t>’</w:t>
      </w:r>
      <w:r w:rsidRPr="00A66252">
        <w:rPr>
          <w:lang w:val="fr-FR"/>
        </w:rPr>
        <w:t>origine. Sous traitement continu, la situation du patient est plus favorable avec une survie à 3 ans à 87 %. (</w:t>
      </w:r>
      <w:r w:rsidR="009472B8" w:rsidRPr="00A66252">
        <w:rPr>
          <w:lang w:val="fr-FR"/>
        </w:rPr>
        <w:t>...</w:t>
      </w:r>
      <w:r w:rsidRPr="00A66252">
        <w:rPr>
          <w:lang w:val="fr-FR"/>
        </w:rPr>
        <w:t>)</w:t>
      </w:r>
    </w:p>
    <w:p w:rsidR="00CD2EF5" w:rsidRPr="00A66252" w:rsidRDefault="00CD2EF5" w:rsidP="00A66252">
      <w:pPr>
        <w:pStyle w:val="ECHRParaQuote"/>
        <w:rPr>
          <w:lang w:val="fr-FR"/>
        </w:rPr>
      </w:pPr>
      <w:r w:rsidRPr="00A66252">
        <w:rPr>
          <w:lang w:val="fr-FR"/>
        </w:rPr>
        <w:t xml:space="preserve">La </w:t>
      </w:r>
      <w:r w:rsidR="00D735AA" w:rsidRPr="00A66252">
        <w:rPr>
          <w:lang w:val="fr-FR"/>
        </w:rPr>
        <w:t xml:space="preserve">LLC </w:t>
      </w:r>
      <w:r w:rsidRPr="00A66252">
        <w:rPr>
          <w:lang w:val="fr-FR"/>
        </w:rPr>
        <w:t xml:space="preserve">et surtout le traitement par </w:t>
      </w:r>
      <w:proofErr w:type="spellStart"/>
      <w:r w:rsidRPr="00A66252">
        <w:rPr>
          <w:lang w:val="fr-FR"/>
        </w:rPr>
        <w:t>Ibrutinib</w:t>
      </w:r>
      <w:proofErr w:type="spellEnd"/>
      <w:r w:rsidRPr="00A66252">
        <w:rPr>
          <w:lang w:val="fr-FR"/>
        </w:rPr>
        <w:t xml:space="preserve"> exposent le patient à des complications sévères qui justifient pleinement un suivi régulier en milieu spécialisé. Cela, d</w:t>
      </w:r>
      <w:r w:rsidR="00A66252" w:rsidRPr="00A66252">
        <w:rPr>
          <w:lang w:val="fr-FR"/>
        </w:rPr>
        <w:t>’</w:t>
      </w:r>
      <w:r w:rsidRPr="00A66252">
        <w:rPr>
          <w:lang w:val="fr-FR"/>
        </w:rPr>
        <w:t>autant plus qu</w:t>
      </w:r>
      <w:r w:rsidR="00A66252" w:rsidRPr="00A66252">
        <w:rPr>
          <w:lang w:val="fr-FR"/>
        </w:rPr>
        <w:t>’</w:t>
      </w:r>
      <w:r w:rsidRPr="00A66252">
        <w:rPr>
          <w:lang w:val="fr-FR"/>
        </w:rPr>
        <w:t>il s</w:t>
      </w:r>
      <w:r w:rsidR="00A66252" w:rsidRPr="00A66252">
        <w:rPr>
          <w:lang w:val="fr-FR"/>
        </w:rPr>
        <w:t>’</w:t>
      </w:r>
      <w:r w:rsidRPr="00A66252">
        <w:rPr>
          <w:lang w:val="fr-FR"/>
        </w:rPr>
        <w:t>agit d</w:t>
      </w:r>
      <w:r w:rsidR="00A66252" w:rsidRPr="00A66252">
        <w:rPr>
          <w:lang w:val="fr-FR"/>
        </w:rPr>
        <w:t>’</w:t>
      </w:r>
      <w:r w:rsidRPr="00A66252">
        <w:rPr>
          <w:lang w:val="fr-FR"/>
        </w:rPr>
        <w:t xml:space="preserve">un patient fragile avec des antécédents lourds (tuberculose et </w:t>
      </w:r>
      <w:r w:rsidR="00D735AA" w:rsidRPr="00A66252">
        <w:rPr>
          <w:lang w:val="fr-FR"/>
        </w:rPr>
        <w:t xml:space="preserve">AVC </w:t>
      </w:r>
      <w:r w:rsidR="001148EB" w:rsidRPr="00A66252">
        <w:rPr>
          <w:lang w:val="fr-FR"/>
        </w:rPr>
        <w:t>[accident vasculaire cérébral]</w:t>
      </w:r>
      <w:r w:rsidRPr="00A66252">
        <w:rPr>
          <w:lang w:val="fr-FR"/>
        </w:rPr>
        <w:t xml:space="preserve">) et des </w:t>
      </w:r>
      <w:proofErr w:type="spellStart"/>
      <w:r w:rsidRPr="00A66252">
        <w:rPr>
          <w:lang w:val="fr-FR"/>
        </w:rPr>
        <w:t>co</w:t>
      </w:r>
      <w:r w:rsidR="007E0090" w:rsidRPr="00A66252">
        <w:rPr>
          <w:lang w:val="fr-FR"/>
        </w:rPr>
        <w:t>-</w:t>
      </w:r>
      <w:r w:rsidRPr="00A66252">
        <w:rPr>
          <w:lang w:val="fr-FR"/>
        </w:rPr>
        <w:t>morbidité</w:t>
      </w:r>
      <w:proofErr w:type="spellEnd"/>
      <w:r w:rsidRPr="00A66252">
        <w:rPr>
          <w:lang w:val="fr-FR"/>
        </w:rPr>
        <w:t xml:space="preserve"> significatives : hépatite chronique active et </w:t>
      </w:r>
      <w:r w:rsidR="00D735AA" w:rsidRPr="00A66252">
        <w:rPr>
          <w:lang w:val="fr-FR"/>
        </w:rPr>
        <w:t xml:space="preserve">BPCO </w:t>
      </w:r>
      <w:r w:rsidR="001148EB" w:rsidRPr="00A66252">
        <w:rPr>
          <w:lang w:val="fr-FR"/>
        </w:rPr>
        <w:t>[broncho-pneumopathie chronique obstructive]</w:t>
      </w:r>
      <w:r w:rsidRPr="00A66252">
        <w:rPr>
          <w:lang w:val="fr-FR"/>
        </w:rPr>
        <w:t>. (</w:t>
      </w:r>
      <w:r w:rsidR="009472B8" w:rsidRPr="00A66252">
        <w:rPr>
          <w:lang w:val="fr-FR"/>
        </w:rPr>
        <w:t>...</w:t>
      </w:r>
      <w:r w:rsidRPr="00A66252">
        <w:rPr>
          <w:lang w:val="fr-FR"/>
        </w:rPr>
        <w:t>)</w:t>
      </w:r>
    </w:p>
    <w:p w:rsidR="00CD2EF5" w:rsidRPr="00A66252" w:rsidRDefault="00CD2EF5" w:rsidP="00A66252">
      <w:pPr>
        <w:pStyle w:val="ECHRParaQuote"/>
        <w:rPr>
          <w:lang w:val="fr-FR"/>
        </w:rPr>
      </w:pPr>
      <w:r w:rsidRPr="00A66252">
        <w:rPr>
          <w:lang w:val="fr-FR"/>
        </w:rPr>
        <w:t xml:space="preserve">Pour une personne jeune – M. </w:t>
      </w:r>
      <w:proofErr w:type="spellStart"/>
      <w:r w:rsidRPr="00A66252">
        <w:rPr>
          <w:lang w:val="fr-FR"/>
        </w:rPr>
        <w:t>Paposhvili</w:t>
      </w:r>
      <w:proofErr w:type="spellEnd"/>
      <w:r w:rsidRPr="00A66252">
        <w:rPr>
          <w:lang w:val="fr-FR"/>
        </w:rPr>
        <w:t xml:space="preserve"> n</w:t>
      </w:r>
      <w:r w:rsidR="00A66252" w:rsidRPr="00A66252">
        <w:rPr>
          <w:lang w:val="fr-FR"/>
        </w:rPr>
        <w:t>’</w:t>
      </w:r>
      <w:r w:rsidRPr="00A66252">
        <w:rPr>
          <w:lang w:val="fr-FR"/>
        </w:rPr>
        <w:t xml:space="preserve">a que 57 ans – les </w:t>
      </w:r>
      <w:r w:rsidRPr="00A66252">
        <w:rPr>
          <w:i/>
          <w:lang w:val="fr-FR"/>
        </w:rPr>
        <w:t xml:space="preserve">guidelines </w:t>
      </w:r>
      <w:r w:rsidRPr="00A66252">
        <w:rPr>
          <w:lang w:val="fr-FR"/>
        </w:rPr>
        <w:t>actuels préconisent d</w:t>
      </w:r>
      <w:r w:rsidR="00A66252" w:rsidRPr="00A66252">
        <w:rPr>
          <w:lang w:val="fr-FR"/>
        </w:rPr>
        <w:t>’</w:t>
      </w:r>
      <w:r w:rsidRPr="00A66252">
        <w:rPr>
          <w:lang w:val="fr-FR"/>
        </w:rPr>
        <w:t>utiliser l</w:t>
      </w:r>
      <w:r w:rsidR="00A66252" w:rsidRPr="00A66252">
        <w:rPr>
          <w:lang w:val="fr-FR"/>
        </w:rPr>
        <w:t>’</w:t>
      </w:r>
      <w:proofErr w:type="spellStart"/>
      <w:r w:rsidRPr="00A66252">
        <w:rPr>
          <w:lang w:val="fr-FR"/>
        </w:rPr>
        <w:t>Ibrutinib</w:t>
      </w:r>
      <w:proofErr w:type="spellEnd"/>
      <w:r w:rsidRPr="00A66252">
        <w:rPr>
          <w:lang w:val="fr-FR"/>
        </w:rPr>
        <w:t xml:space="preserve"> pour obtenir la meilleure réponse possible et enchaîner avec une allogreffe de cellules souches périphériques. Un donneur HLA </w:t>
      </w:r>
      <w:r w:rsidR="00246B85" w:rsidRPr="00A66252">
        <w:rPr>
          <w:lang w:val="fr-FR"/>
        </w:rPr>
        <w:t xml:space="preserve">[« antigènes des leucocytes humains »] </w:t>
      </w:r>
      <w:r w:rsidRPr="00A66252">
        <w:rPr>
          <w:lang w:val="fr-FR"/>
        </w:rPr>
        <w:t>compatible a été identifié pour le patient.</w:t>
      </w:r>
    </w:p>
    <w:p w:rsidR="00CD2EF5" w:rsidRPr="00A66252" w:rsidRDefault="00CD2EF5" w:rsidP="00A66252">
      <w:pPr>
        <w:pStyle w:val="ECHRParaQuote"/>
        <w:rPr>
          <w:lang w:val="fr-FR"/>
        </w:rPr>
      </w:pPr>
      <w:r w:rsidRPr="00A66252">
        <w:rPr>
          <w:lang w:val="fr-FR"/>
        </w:rPr>
        <w:t xml:space="preserve">Bien que risquée, seule la greffe </w:t>
      </w:r>
      <w:proofErr w:type="spellStart"/>
      <w:r w:rsidRPr="00A66252">
        <w:rPr>
          <w:lang w:val="fr-FR"/>
        </w:rPr>
        <w:t>allogénique</w:t>
      </w:r>
      <w:proofErr w:type="spellEnd"/>
      <w:r w:rsidRPr="00A66252">
        <w:rPr>
          <w:lang w:val="fr-FR"/>
        </w:rPr>
        <w:t xml:space="preserve"> peut offrir un traitement curatif au patient, traitement que le patient ne pourra avoir dans son pays d</w:t>
      </w:r>
      <w:r w:rsidR="00A66252" w:rsidRPr="00A66252">
        <w:rPr>
          <w:lang w:val="fr-FR"/>
        </w:rPr>
        <w:t>’</w:t>
      </w:r>
      <w:r w:rsidRPr="00A66252">
        <w:rPr>
          <w:lang w:val="fr-FR"/>
        </w:rPr>
        <w:t>origine.</w:t>
      </w:r>
    </w:p>
    <w:p w:rsidR="00CD2EF5" w:rsidRPr="00A66252" w:rsidRDefault="00CD2EF5" w:rsidP="00A66252">
      <w:pPr>
        <w:pStyle w:val="ECHRParaQuote"/>
        <w:rPr>
          <w:lang w:val="fr-FR"/>
        </w:rPr>
      </w:pPr>
      <w:r w:rsidRPr="00A66252">
        <w:rPr>
          <w:lang w:val="fr-FR"/>
        </w:rPr>
        <w:t>(</w:t>
      </w:r>
      <w:r w:rsidR="009472B8" w:rsidRPr="00A66252">
        <w:rPr>
          <w:lang w:val="fr-FR"/>
        </w:rPr>
        <w:t>...</w:t>
      </w:r>
      <w:r w:rsidRPr="00A66252">
        <w:rPr>
          <w:lang w:val="fr-FR"/>
        </w:rPr>
        <w:t>)</w:t>
      </w:r>
    </w:p>
    <w:p w:rsidR="00CD2EF5" w:rsidRPr="00A66252" w:rsidRDefault="00CD2EF5" w:rsidP="00A66252">
      <w:pPr>
        <w:pStyle w:val="ECHRParaQuote"/>
        <w:rPr>
          <w:lang w:val="fr-FR"/>
        </w:rPr>
      </w:pPr>
      <w:r w:rsidRPr="00A66252">
        <w:rPr>
          <w:lang w:val="fr-FR"/>
        </w:rPr>
        <w:t>En conclusions,</w:t>
      </w:r>
    </w:p>
    <w:p w:rsidR="00CD2EF5" w:rsidRPr="00A66252" w:rsidRDefault="00CD2EF5" w:rsidP="00A66252">
      <w:pPr>
        <w:pStyle w:val="ECHRParaQuote"/>
        <w:rPr>
          <w:lang w:val="fr-FR"/>
        </w:rPr>
      </w:pPr>
      <w:r w:rsidRPr="00A66252">
        <w:rPr>
          <w:lang w:val="fr-FR"/>
        </w:rPr>
        <w:t xml:space="preserve">Le </w:t>
      </w:r>
      <w:r w:rsidR="005D56FD" w:rsidRPr="00A66252">
        <w:rPr>
          <w:lang w:val="fr-FR"/>
        </w:rPr>
        <w:t>[médecin conseil de l</w:t>
      </w:r>
      <w:r w:rsidR="00A66252" w:rsidRPr="00A66252">
        <w:rPr>
          <w:lang w:val="fr-FR"/>
        </w:rPr>
        <w:t>’</w:t>
      </w:r>
      <w:r w:rsidR="005D56FD" w:rsidRPr="00A66252">
        <w:rPr>
          <w:lang w:val="fr-FR"/>
        </w:rPr>
        <w:t>OE]</w:t>
      </w:r>
      <w:r w:rsidRPr="00A66252">
        <w:rPr>
          <w:lang w:val="fr-FR"/>
        </w:rPr>
        <w:t xml:space="preserve"> conclut (</w:t>
      </w:r>
      <w:r w:rsidR="009472B8" w:rsidRPr="00A66252">
        <w:rPr>
          <w:lang w:val="fr-FR"/>
        </w:rPr>
        <w:t>...</w:t>
      </w:r>
      <w:r w:rsidRPr="00A66252">
        <w:rPr>
          <w:lang w:val="fr-FR"/>
        </w:rPr>
        <w:t xml:space="preserve">) : </w:t>
      </w:r>
      <w:r w:rsidR="001148EB" w:rsidRPr="00A66252">
        <w:rPr>
          <w:lang w:val="fr-FR"/>
        </w:rPr>
        <w:t>a</w:t>
      </w:r>
      <w:r w:rsidRPr="00A66252">
        <w:rPr>
          <w:lang w:val="fr-FR"/>
        </w:rPr>
        <w:t>ucun organe vital n</w:t>
      </w:r>
      <w:r w:rsidR="00A66252" w:rsidRPr="00A66252">
        <w:rPr>
          <w:lang w:val="fr-FR"/>
        </w:rPr>
        <w:t>’</w:t>
      </w:r>
      <w:r w:rsidRPr="00A66252">
        <w:rPr>
          <w:lang w:val="fr-FR"/>
        </w:rPr>
        <w:t>est dans un état tel que le pronostic vital est directement mis en péril. Tout dépend de la notion de « directement ». Le patient souffre d</w:t>
      </w:r>
      <w:r w:rsidR="00A66252" w:rsidRPr="00A66252">
        <w:rPr>
          <w:lang w:val="fr-FR"/>
        </w:rPr>
        <w:t>’</w:t>
      </w:r>
      <w:r w:rsidRPr="00A66252">
        <w:rPr>
          <w:lang w:val="fr-FR"/>
        </w:rPr>
        <w:t>un cancer potentiellement mortel à court terme (survie médiane à 19 mois) (</w:t>
      </w:r>
      <w:r w:rsidR="009472B8" w:rsidRPr="00A66252">
        <w:rPr>
          <w:lang w:val="fr-FR"/>
        </w:rPr>
        <w:t>...</w:t>
      </w:r>
      <w:r w:rsidRPr="00A66252">
        <w:rPr>
          <w:lang w:val="fr-FR"/>
        </w:rPr>
        <w:t>) et plus probablement &lt; 6 mois sans traitement adapté.</w:t>
      </w:r>
    </w:p>
    <w:p w:rsidR="00CD2EF5" w:rsidRPr="00A66252" w:rsidRDefault="00CD2EF5" w:rsidP="00A66252">
      <w:pPr>
        <w:pStyle w:val="ECHRParaQuote"/>
        <w:rPr>
          <w:lang w:val="fr-FR"/>
        </w:rPr>
      </w:pPr>
      <w:r w:rsidRPr="00A66252">
        <w:rPr>
          <w:lang w:val="fr-FR"/>
        </w:rPr>
        <w:t>De plus si le traitement n</w:t>
      </w:r>
      <w:r w:rsidR="00A66252" w:rsidRPr="00A66252">
        <w:rPr>
          <w:lang w:val="fr-FR"/>
        </w:rPr>
        <w:t>’</w:t>
      </w:r>
      <w:r w:rsidRPr="00A66252">
        <w:rPr>
          <w:lang w:val="fr-FR"/>
        </w:rPr>
        <w:t>est pas adapté à l</w:t>
      </w:r>
      <w:r w:rsidR="00A66252" w:rsidRPr="00A66252">
        <w:rPr>
          <w:lang w:val="fr-FR"/>
        </w:rPr>
        <w:t>’</w:t>
      </w:r>
      <w:r w:rsidRPr="00A66252">
        <w:rPr>
          <w:lang w:val="fr-FR"/>
        </w:rPr>
        <w:t>immunodépression globale du patient il y a un risque majeur de décès infectieux surtout chez un patient</w:t>
      </w:r>
      <w:r w:rsidR="00D735AA" w:rsidRPr="00A66252">
        <w:rPr>
          <w:lang w:val="fr-FR"/>
        </w:rPr>
        <w:t xml:space="preserve"> BPCO</w:t>
      </w:r>
      <w:r w:rsidRPr="00A66252">
        <w:rPr>
          <w:lang w:val="fr-FR"/>
        </w:rPr>
        <w:t xml:space="preserve"> Gold II avec antécédents de tuberculose. (</w:t>
      </w:r>
      <w:r w:rsidR="009472B8" w:rsidRPr="00A66252">
        <w:rPr>
          <w:lang w:val="fr-FR"/>
        </w:rPr>
        <w:t>...</w:t>
      </w:r>
      <w:r w:rsidRPr="00A66252">
        <w:rPr>
          <w:lang w:val="fr-FR"/>
        </w:rPr>
        <w:t>) »</w:t>
      </w:r>
    </w:p>
    <w:p w:rsidR="00772847" w:rsidRPr="00A66252" w:rsidRDefault="00D50AC7"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47</w:t>
      </w:r>
      <w:r w:rsidRPr="00A66252">
        <w:rPr>
          <w:lang w:val="fr-FR"/>
        </w:rPr>
        <w:fldChar w:fldCharType="end"/>
      </w:r>
      <w:r w:rsidRPr="00A66252">
        <w:rPr>
          <w:lang w:val="fr-FR"/>
        </w:rPr>
        <w:t>.  Le traitement à l</w:t>
      </w:r>
      <w:r w:rsidR="00A66252" w:rsidRPr="00A66252">
        <w:rPr>
          <w:lang w:val="fr-FR"/>
        </w:rPr>
        <w:t>’</w:t>
      </w:r>
      <w:proofErr w:type="spellStart"/>
      <w:r w:rsidRPr="00A66252">
        <w:rPr>
          <w:lang w:val="fr-FR"/>
        </w:rPr>
        <w:t>Ibrunitib</w:t>
      </w:r>
      <w:proofErr w:type="spellEnd"/>
      <w:r w:rsidRPr="00A66252">
        <w:rPr>
          <w:lang w:val="fr-FR"/>
        </w:rPr>
        <w:t xml:space="preserve"> fut admis au remboursement en Belgique le 1</w:t>
      </w:r>
      <w:r w:rsidRPr="00A66252">
        <w:rPr>
          <w:vertAlign w:val="superscript"/>
          <w:lang w:val="fr-FR"/>
        </w:rPr>
        <w:t>er</w:t>
      </w:r>
      <w:r w:rsidRPr="00A66252">
        <w:rPr>
          <w:lang w:val="fr-FR"/>
        </w:rPr>
        <w:t xml:space="preserve"> août 2015.</w:t>
      </w:r>
    </w:p>
    <w:p w:rsidR="00D50AC7" w:rsidRPr="00A66252" w:rsidRDefault="00D50AC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48</w:t>
      </w:r>
      <w:r w:rsidRPr="00A66252">
        <w:rPr>
          <w:lang w:val="fr-FR"/>
        </w:rPr>
        <w:fldChar w:fldCharType="end"/>
      </w:r>
      <w:r w:rsidRPr="00A66252">
        <w:rPr>
          <w:lang w:val="fr-FR"/>
        </w:rPr>
        <w:t>.  En raison des effets secondaires induits par ce traitement</w:t>
      </w:r>
      <w:r w:rsidR="00E56134" w:rsidRPr="00A66252">
        <w:rPr>
          <w:lang w:val="fr-FR"/>
        </w:rPr>
        <w:t xml:space="preserve"> risquant de compromettre l</w:t>
      </w:r>
      <w:r w:rsidR="00A66252" w:rsidRPr="00A66252">
        <w:rPr>
          <w:lang w:val="fr-FR"/>
        </w:rPr>
        <w:t>’</w:t>
      </w:r>
      <w:r w:rsidR="00E56134" w:rsidRPr="00A66252">
        <w:rPr>
          <w:lang w:val="fr-FR"/>
        </w:rPr>
        <w:t>allogreffe, la prise d</w:t>
      </w:r>
      <w:r w:rsidR="00A66252" w:rsidRPr="00A66252">
        <w:rPr>
          <w:lang w:val="fr-FR"/>
        </w:rPr>
        <w:t>’</w:t>
      </w:r>
      <w:proofErr w:type="spellStart"/>
      <w:r w:rsidR="00E56134" w:rsidRPr="00A66252">
        <w:rPr>
          <w:lang w:val="fr-FR"/>
        </w:rPr>
        <w:t>Ibrunitib</w:t>
      </w:r>
      <w:proofErr w:type="spellEnd"/>
      <w:r w:rsidR="00E56134" w:rsidRPr="00A66252">
        <w:rPr>
          <w:lang w:val="fr-FR"/>
        </w:rPr>
        <w:t xml:space="preserve"> a été réduite de trois à une prise par jour.</w:t>
      </w:r>
    </w:p>
    <w:p w:rsidR="00772847" w:rsidRPr="00A66252" w:rsidRDefault="00772847" w:rsidP="00A66252">
      <w:pPr>
        <w:pStyle w:val="ECHRHeading3"/>
        <w:rPr>
          <w:lang w:val="fr-FR"/>
        </w:rPr>
      </w:pPr>
      <w:r w:rsidRPr="00A66252">
        <w:rPr>
          <w:lang w:val="fr-FR"/>
        </w:rPr>
        <w:t>2</w:t>
      </w:r>
      <w:r w:rsidR="00276F84" w:rsidRPr="00A66252">
        <w:rPr>
          <w:lang w:val="fr-FR"/>
        </w:rPr>
        <w:t>.  </w:t>
      </w:r>
      <w:r w:rsidRPr="00A66252">
        <w:rPr>
          <w:lang w:val="fr-FR"/>
        </w:rPr>
        <w:t>Autres affections</w:t>
      </w:r>
    </w:p>
    <w:bookmarkStart w:id="6" w:name="Tuberculose"/>
    <w:p w:rsidR="00772847" w:rsidRPr="00A66252" w:rsidRDefault="0077284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49</w:t>
      </w:r>
      <w:r w:rsidRPr="00A66252">
        <w:rPr>
          <w:lang w:val="fr-FR"/>
        </w:rPr>
        <w:fldChar w:fldCharType="end"/>
      </w:r>
      <w:bookmarkEnd w:id="6"/>
      <w:r w:rsidRPr="00A66252">
        <w:rPr>
          <w:lang w:val="fr-FR"/>
        </w:rPr>
        <w:t>.  En 2000, on diagnostiqua</w:t>
      </w:r>
      <w:r w:rsidR="009D52D4" w:rsidRPr="00A66252">
        <w:rPr>
          <w:lang w:val="fr-FR"/>
        </w:rPr>
        <w:t xml:space="preserve"> au requérant une tuberculose </w:t>
      </w:r>
      <w:r w:rsidR="0038220F" w:rsidRPr="00A66252">
        <w:rPr>
          <w:lang w:val="fr-FR"/>
        </w:rPr>
        <w:t>pulmonaire active.</w:t>
      </w:r>
      <w:r w:rsidRPr="00A66252">
        <w:rPr>
          <w:lang w:val="fr-FR"/>
        </w:rPr>
        <w:t xml:space="preserve"> </w:t>
      </w:r>
      <w:r w:rsidR="0038220F" w:rsidRPr="00A66252">
        <w:rPr>
          <w:lang w:val="fr-FR"/>
        </w:rPr>
        <w:t>Le requérant bénéficia de la prise en charge du traitement antituberculeux grâce à l</w:t>
      </w:r>
      <w:r w:rsidR="00A66252" w:rsidRPr="00A66252">
        <w:rPr>
          <w:lang w:val="fr-FR"/>
        </w:rPr>
        <w:t>’</w:t>
      </w:r>
      <w:r w:rsidR="0038220F" w:rsidRPr="00A66252">
        <w:rPr>
          <w:lang w:val="fr-FR"/>
        </w:rPr>
        <w:t>aide médicale d</w:t>
      </w:r>
      <w:r w:rsidR="00A66252" w:rsidRPr="00A66252">
        <w:rPr>
          <w:lang w:val="fr-FR"/>
        </w:rPr>
        <w:t>’</w:t>
      </w:r>
      <w:r w:rsidR="0038220F" w:rsidRPr="00A66252">
        <w:rPr>
          <w:lang w:val="fr-FR"/>
        </w:rPr>
        <w:t>urgence et à l</w:t>
      </w:r>
      <w:r w:rsidR="00A66252" w:rsidRPr="00A66252">
        <w:rPr>
          <w:lang w:val="fr-FR"/>
        </w:rPr>
        <w:t>’</w:t>
      </w:r>
      <w:r w:rsidR="0038220F" w:rsidRPr="00A66252">
        <w:rPr>
          <w:lang w:val="fr-FR"/>
        </w:rPr>
        <w:t>aide sociale.</w:t>
      </w:r>
    </w:p>
    <w:p w:rsidR="00772847" w:rsidRPr="00A66252" w:rsidRDefault="0038220F"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50</w:t>
      </w:r>
      <w:r w:rsidRPr="00A66252">
        <w:rPr>
          <w:lang w:val="fr-FR"/>
        </w:rPr>
        <w:fldChar w:fldCharType="end"/>
      </w:r>
      <w:r w:rsidRPr="00A66252">
        <w:rPr>
          <w:lang w:val="fr-FR"/>
        </w:rPr>
        <w:t>.  </w:t>
      </w:r>
      <w:r w:rsidR="00772847" w:rsidRPr="00A66252">
        <w:rPr>
          <w:lang w:val="fr-FR"/>
        </w:rPr>
        <w:t>Courant 2008, il s</w:t>
      </w:r>
      <w:r w:rsidR="00A66252" w:rsidRPr="00A66252">
        <w:rPr>
          <w:lang w:val="fr-FR"/>
        </w:rPr>
        <w:t>’</w:t>
      </w:r>
      <w:r w:rsidR="00772847" w:rsidRPr="00A66252">
        <w:rPr>
          <w:lang w:val="fr-FR"/>
        </w:rPr>
        <w:t>avéra que la tuberculose était réactivée.</w:t>
      </w:r>
    </w:p>
    <w:p w:rsidR="00772847" w:rsidRPr="00A66252" w:rsidRDefault="00772847" w:rsidP="00A66252">
      <w:pPr>
        <w:pStyle w:val="ECHRPara"/>
        <w:rPr>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51</w:t>
      </w:r>
      <w:r w:rsidRPr="00A66252">
        <w:rPr>
          <w:szCs w:val="24"/>
          <w:lang w:val="fr-FR"/>
        </w:rPr>
        <w:fldChar w:fldCharType="end"/>
      </w:r>
      <w:r w:rsidRPr="00A66252">
        <w:rPr>
          <w:szCs w:val="24"/>
          <w:lang w:val="fr-FR"/>
        </w:rPr>
        <w:t>.  Séquelle de cette</w:t>
      </w:r>
      <w:r w:rsidR="00F7184B" w:rsidRPr="00A66252">
        <w:rPr>
          <w:szCs w:val="24"/>
          <w:lang w:val="fr-FR"/>
        </w:rPr>
        <w:t xml:space="preserve"> affection, le requérant souffrait</w:t>
      </w:r>
      <w:r w:rsidR="003524BE" w:rsidRPr="00A66252">
        <w:rPr>
          <w:szCs w:val="24"/>
          <w:lang w:val="fr-FR"/>
        </w:rPr>
        <w:t xml:space="preserve"> d</w:t>
      </w:r>
      <w:r w:rsidR="00A66252" w:rsidRPr="00A66252">
        <w:rPr>
          <w:szCs w:val="24"/>
          <w:lang w:val="fr-FR"/>
        </w:rPr>
        <w:t>’</w:t>
      </w:r>
      <w:r w:rsidR="003524BE" w:rsidRPr="00A66252">
        <w:rPr>
          <w:szCs w:val="24"/>
          <w:lang w:val="fr-FR"/>
        </w:rPr>
        <w:t>une broncho</w:t>
      </w:r>
      <w:r w:rsidR="003524BE" w:rsidRPr="00A66252">
        <w:rPr>
          <w:szCs w:val="24"/>
          <w:lang w:val="fr-FR"/>
        </w:rPr>
        <w:noBreakHyphen/>
      </w:r>
      <w:r w:rsidRPr="00A66252">
        <w:rPr>
          <w:szCs w:val="24"/>
          <w:lang w:val="fr-FR"/>
        </w:rPr>
        <w:t xml:space="preserve">pneumopathie chronique obstructive qui </w:t>
      </w:r>
      <w:r w:rsidR="00F7184B" w:rsidRPr="00A66252">
        <w:rPr>
          <w:szCs w:val="24"/>
          <w:lang w:val="fr-FR"/>
        </w:rPr>
        <w:t>fut</w:t>
      </w:r>
      <w:r w:rsidRPr="00A66252">
        <w:rPr>
          <w:szCs w:val="24"/>
          <w:lang w:val="fr-FR"/>
        </w:rPr>
        <w:t xml:space="preserve"> traitée.</w:t>
      </w:r>
    </w:p>
    <w:p w:rsidR="00A66252" w:rsidRPr="00A66252" w:rsidRDefault="00772847" w:rsidP="00A66252">
      <w:pPr>
        <w:pStyle w:val="ECHRPara"/>
        <w:ind w:firstLine="232"/>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52</w:t>
      </w:r>
      <w:r w:rsidRPr="00A66252">
        <w:rPr>
          <w:szCs w:val="24"/>
          <w:lang w:val="fr-FR"/>
        </w:rPr>
        <w:fldChar w:fldCharType="end"/>
      </w:r>
      <w:r w:rsidR="00F7184B" w:rsidRPr="00A66252">
        <w:rPr>
          <w:szCs w:val="24"/>
          <w:lang w:val="fr-FR"/>
        </w:rPr>
        <w:t>.  Le requérant souffrait</w:t>
      </w:r>
      <w:r w:rsidRPr="00A66252">
        <w:rPr>
          <w:szCs w:val="24"/>
          <w:lang w:val="fr-FR"/>
        </w:rPr>
        <w:t xml:space="preserve"> en outre d</w:t>
      </w:r>
      <w:r w:rsidR="00A66252" w:rsidRPr="00A66252">
        <w:rPr>
          <w:szCs w:val="24"/>
          <w:lang w:val="fr-FR"/>
        </w:rPr>
        <w:t>’</w:t>
      </w:r>
      <w:r w:rsidRPr="00A66252">
        <w:rPr>
          <w:szCs w:val="24"/>
          <w:lang w:val="fr-FR"/>
        </w:rPr>
        <w:t xml:space="preserve">une hépatite C, également diagnostiquée en 2006, vraisemblablement liée à des antécédents de toxicomanie. Elle </w:t>
      </w:r>
      <w:r w:rsidR="00F7184B" w:rsidRPr="00A66252">
        <w:rPr>
          <w:szCs w:val="24"/>
          <w:lang w:val="fr-FR"/>
        </w:rPr>
        <w:t>était</w:t>
      </w:r>
      <w:r w:rsidRPr="00A66252">
        <w:rPr>
          <w:szCs w:val="24"/>
          <w:lang w:val="fr-FR"/>
        </w:rPr>
        <w:t xml:space="preserve"> accompagnée d</w:t>
      </w:r>
      <w:r w:rsidR="00A66252" w:rsidRPr="00A66252">
        <w:rPr>
          <w:szCs w:val="24"/>
          <w:lang w:val="fr-FR"/>
        </w:rPr>
        <w:t>’</w:t>
      </w:r>
      <w:r w:rsidRPr="00A66252">
        <w:rPr>
          <w:szCs w:val="24"/>
          <w:lang w:val="fr-FR"/>
        </w:rPr>
        <w:t>une fibrose hépatique. D</w:t>
      </w:r>
      <w:r w:rsidR="00A66252" w:rsidRPr="00A66252">
        <w:rPr>
          <w:szCs w:val="24"/>
          <w:lang w:val="fr-FR"/>
        </w:rPr>
        <w:t>’</w:t>
      </w:r>
      <w:r w:rsidRPr="00A66252">
        <w:rPr>
          <w:szCs w:val="24"/>
          <w:lang w:val="fr-FR"/>
        </w:rPr>
        <w:t>après un rapport médical du 24 avril 2015, l</w:t>
      </w:r>
      <w:r w:rsidR="00A66252" w:rsidRPr="00A66252">
        <w:rPr>
          <w:szCs w:val="24"/>
          <w:lang w:val="fr-FR"/>
        </w:rPr>
        <w:t>’</w:t>
      </w:r>
      <w:r w:rsidRPr="00A66252">
        <w:rPr>
          <w:szCs w:val="24"/>
          <w:lang w:val="fr-FR"/>
        </w:rPr>
        <w:t xml:space="preserve">hépatite, </w:t>
      </w:r>
      <w:r w:rsidR="005145C4" w:rsidRPr="00A66252">
        <w:rPr>
          <w:szCs w:val="24"/>
          <w:lang w:val="fr-FR"/>
        </w:rPr>
        <w:t>traitée efficacement en 2012 et </w:t>
      </w:r>
      <w:r w:rsidRPr="00A66252">
        <w:rPr>
          <w:szCs w:val="24"/>
          <w:lang w:val="fr-FR"/>
        </w:rPr>
        <w:t xml:space="preserve">2013, </w:t>
      </w:r>
      <w:r w:rsidR="00F7184B" w:rsidRPr="00A66252">
        <w:rPr>
          <w:szCs w:val="24"/>
          <w:lang w:val="fr-FR"/>
        </w:rPr>
        <w:t>était</w:t>
      </w:r>
      <w:r w:rsidRPr="00A66252">
        <w:rPr>
          <w:szCs w:val="24"/>
          <w:lang w:val="fr-FR"/>
        </w:rPr>
        <w:t xml:space="preserve"> stable.</w:t>
      </w:r>
    </w:p>
    <w:p w:rsidR="00772847" w:rsidRPr="00A66252" w:rsidRDefault="00772847" w:rsidP="00A66252">
      <w:pPr>
        <w:pStyle w:val="ECHRPara"/>
        <w:ind w:firstLine="232"/>
        <w:rPr>
          <w:b/>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53</w:t>
      </w:r>
      <w:r w:rsidRPr="00A66252">
        <w:rPr>
          <w:szCs w:val="24"/>
          <w:lang w:val="fr-FR"/>
        </w:rPr>
        <w:fldChar w:fldCharType="end"/>
      </w:r>
      <w:r w:rsidRPr="00A66252">
        <w:rPr>
          <w:szCs w:val="24"/>
          <w:lang w:val="fr-FR"/>
        </w:rPr>
        <w:t>.  Une imagerie par résonnance magnétique</w:t>
      </w:r>
      <w:r w:rsidR="0038220F" w:rsidRPr="00A66252">
        <w:rPr>
          <w:szCs w:val="24"/>
          <w:lang w:val="fr-FR"/>
        </w:rPr>
        <w:t>,</w:t>
      </w:r>
      <w:r w:rsidRPr="00A66252">
        <w:rPr>
          <w:szCs w:val="24"/>
          <w:lang w:val="fr-FR"/>
        </w:rPr>
        <w:t xml:space="preserve"> </w:t>
      </w:r>
      <w:proofErr w:type="spellStart"/>
      <w:r w:rsidRPr="00A66252">
        <w:rPr>
          <w:szCs w:val="24"/>
          <w:lang w:val="fr-FR"/>
        </w:rPr>
        <w:t>réalisée</w:t>
      </w:r>
      <w:proofErr w:type="spellEnd"/>
      <w:r w:rsidRPr="00A66252">
        <w:rPr>
          <w:szCs w:val="24"/>
          <w:lang w:val="fr-FR"/>
        </w:rPr>
        <w:t xml:space="preserve"> en mars 2015</w:t>
      </w:r>
      <w:r w:rsidR="0038220F" w:rsidRPr="00A66252">
        <w:rPr>
          <w:szCs w:val="24"/>
          <w:lang w:val="fr-FR"/>
        </w:rPr>
        <w:t>,</w:t>
      </w:r>
      <w:r w:rsidRPr="00A66252">
        <w:rPr>
          <w:szCs w:val="24"/>
          <w:lang w:val="fr-FR"/>
        </w:rPr>
        <w:t xml:space="preserve"> </w:t>
      </w:r>
      <w:r w:rsidR="0038220F" w:rsidRPr="00A66252">
        <w:rPr>
          <w:szCs w:val="24"/>
          <w:lang w:val="fr-FR"/>
        </w:rPr>
        <w:t>révéla</w:t>
      </w:r>
      <w:r w:rsidRPr="00A66252">
        <w:rPr>
          <w:szCs w:val="24"/>
          <w:lang w:val="fr-FR"/>
        </w:rPr>
        <w:t xml:space="preserve"> que le requérant avait fait un accide</w:t>
      </w:r>
      <w:r w:rsidR="001148EB" w:rsidRPr="00A66252">
        <w:rPr>
          <w:szCs w:val="24"/>
          <w:lang w:val="fr-FR"/>
        </w:rPr>
        <w:t xml:space="preserve">nt cardio-vasculaire </w:t>
      </w:r>
      <w:proofErr w:type="spellStart"/>
      <w:r w:rsidR="001148EB" w:rsidRPr="00A66252">
        <w:rPr>
          <w:szCs w:val="24"/>
          <w:lang w:val="fr-FR"/>
        </w:rPr>
        <w:t>cérébral</w:t>
      </w:r>
      <w:proofErr w:type="spellEnd"/>
      <w:r w:rsidR="001148EB" w:rsidRPr="00A66252">
        <w:rPr>
          <w:szCs w:val="24"/>
          <w:lang w:val="fr-FR"/>
        </w:rPr>
        <w:t xml:space="preserve">, </w:t>
      </w:r>
      <w:r w:rsidRPr="00A66252">
        <w:rPr>
          <w:szCs w:val="24"/>
          <w:lang w:val="fr-FR"/>
        </w:rPr>
        <w:t xml:space="preserve">qui avait entraîné une paralysie définitive au niveau du bras gauche. Les séquelles de cet </w:t>
      </w:r>
      <w:r w:rsidR="001148EB" w:rsidRPr="00A66252">
        <w:rPr>
          <w:lang w:val="fr-FR"/>
        </w:rPr>
        <w:t xml:space="preserve">accident vasculaire cérébral </w:t>
      </w:r>
      <w:r w:rsidR="00F7184B" w:rsidRPr="00A66252">
        <w:rPr>
          <w:szCs w:val="24"/>
          <w:lang w:val="fr-FR"/>
        </w:rPr>
        <w:t>étaient</w:t>
      </w:r>
      <w:r w:rsidRPr="00A66252">
        <w:rPr>
          <w:szCs w:val="24"/>
          <w:lang w:val="fr-FR"/>
        </w:rPr>
        <w:t xml:space="preserve"> contrôlées par la prise d</w:t>
      </w:r>
      <w:r w:rsidR="00A66252" w:rsidRPr="00A66252">
        <w:rPr>
          <w:szCs w:val="24"/>
          <w:lang w:val="fr-FR"/>
        </w:rPr>
        <w:t>’</w:t>
      </w:r>
      <w:r w:rsidRPr="00A66252">
        <w:rPr>
          <w:szCs w:val="24"/>
          <w:lang w:val="fr-FR"/>
        </w:rPr>
        <w:t xml:space="preserve">un médicament </w:t>
      </w:r>
      <w:proofErr w:type="spellStart"/>
      <w:r w:rsidRPr="00A66252">
        <w:rPr>
          <w:szCs w:val="24"/>
          <w:lang w:val="fr-FR"/>
        </w:rPr>
        <w:t>anti-épileptique</w:t>
      </w:r>
      <w:proofErr w:type="spellEnd"/>
      <w:r w:rsidRPr="00A66252">
        <w:rPr>
          <w:szCs w:val="24"/>
          <w:lang w:val="fr-FR"/>
        </w:rPr>
        <w:t>.</w:t>
      </w:r>
    </w:p>
    <w:p w:rsidR="00CD2EF5" w:rsidRPr="00A66252" w:rsidRDefault="00276F84" w:rsidP="00A66252">
      <w:pPr>
        <w:pStyle w:val="ECHRHeading2"/>
        <w:rPr>
          <w:lang w:val="fr-FR"/>
        </w:rPr>
      </w:pPr>
      <w:r w:rsidRPr="00A66252">
        <w:rPr>
          <w:lang w:val="fr-FR"/>
        </w:rPr>
        <w:t>E.  </w:t>
      </w:r>
      <w:r w:rsidR="00CD2EF5" w:rsidRPr="00A66252">
        <w:rPr>
          <w:lang w:val="fr-FR"/>
        </w:rPr>
        <w:t>Les demandes de régularisation pour raisons médicales</w:t>
      </w:r>
    </w:p>
    <w:p w:rsidR="006E5806" w:rsidRPr="00A66252" w:rsidRDefault="00CD2EF5" w:rsidP="00A66252">
      <w:pPr>
        <w:pStyle w:val="ECHRHeading3"/>
        <w:rPr>
          <w:lang w:val="fr-FR"/>
        </w:rPr>
      </w:pPr>
      <w:r w:rsidRPr="00A66252">
        <w:rPr>
          <w:lang w:val="fr-FR"/>
        </w:rPr>
        <w:t>1</w:t>
      </w:r>
      <w:r w:rsidR="00276F84" w:rsidRPr="00A66252">
        <w:rPr>
          <w:lang w:val="fr-FR"/>
        </w:rPr>
        <w:t>.  </w:t>
      </w:r>
      <w:r w:rsidR="006E5806" w:rsidRPr="00A66252">
        <w:rPr>
          <w:lang w:val="fr-FR"/>
        </w:rPr>
        <w:t>Première demande de régularisation pour raisons médicales</w:t>
      </w:r>
    </w:p>
    <w:bookmarkStart w:id="7" w:name="Motifs9ter"/>
    <w:bookmarkStart w:id="8" w:name="Dde9ter1"/>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54</w:t>
      </w:r>
      <w:r w:rsidRPr="00A66252">
        <w:rPr>
          <w:lang w:val="fr-FR"/>
        </w:rPr>
        <w:fldChar w:fldCharType="end"/>
      </w:r>
      <w:bookmarkEnd w:id="7"/>
      <w:bookmarkEnd w:id="8"/>
      <w:r w:rsidRPr="00A66252">
        <w:rPr>
          <w:lang w:val="fr-FR"/>
        </w:rPr>
        <w:t>.  </w:t>
      </w:r>
      <w:r w:rsidR="006E5806" w:rsidRPr="00A66252">
        <w:rPr>
          <w:lang w:val="fr-FR"/>
        </w:rPr>
        <w:t>Le 10 septembre 2007, invoquant les articles 3 et 8 de la Convention et alléguant notamment l</w:t>
      </w:r>
      <w:r w:rsidR="00A66252" w:rsidRPr="00A66252">
        <w:rPr>
          <w:lang w:val="fr-FR"/>
        </w:rPr>
        <w:t>’</w:t>
      </w:r>
      <w:r w:rsidR="006E5806" w:rsidRPr="00A66252">
        <w:rPr>
          <w:lang w:val="fr-FR"/>
        </w:rPr>
        <w:t xml:space="preserve">absence de possibilité de traitement de sa leucémie (voir paragraphe </w:t>
      </w:r>
      <w:r w:rsidR="005C2983" w:rsidRPr="00A66252">
        <w:rPr>
          <w:lang w:val="fr-FR"/>
        </w:rPr>
        <w:fldChar w:fldCharType="begin"/>
      </w:r>
      <w:r w:rsidR="005C2983" w:rsidRPr="00A66252">
        <w:rPr>
          <w:lang w:val="fr-FR"/>
        </w:rPr>
        <w:instrText xml:space="preserve"> REF LLCDIAGN \h </w:instrText>
      </w:r>
      <w:r w:rsidR="0080142D" w:rsidRPr="00A66252">
        <w:rPr>
          <w:lang w:val="fr-FR"/>
        </w:rPr>
        <w:instrText xml:space="preserve"> \* MERGEFORMAT </w:instrText>
      </w:r>
      <w:r w:rsidR="005C2983" w:rsidRPr="00A66252">
        <w:rPr>
          <w:lang w:val="fr-FR"/>
        </w:rPr>
      </w:r>
      <w:r w:rsidR="005C2983" w:rsidRPr="00A66252">
        <w:rPr>
          <w:lang w:val="fr-FR"/>
        </w:rPr>
        <w:fldChar w:fldCharType="separate"/>
      </w:r>
      <w:r w:rsidR="00A66252" w:rsidRPr="00A66252">
        <w:rPr>
          <w:noProof/>
          <w:lang w:val="fr-FR"/>
        </w:rPr>
        <w:t>34</w:t>
      </w:r>
      <w:r w:rsidR="005C2983" w:rsidRPr="00A66252">
        <w:rPr>
          <w:lang w:val="fr-FR"/>
        </w:rPr>
        <w:fldChar w:fldCharType="end"/>
      </w:r>
      <w:r w:rsidR="005C2983" w:rsidRPr="00A66252">
        <w:rPr>
          <w:lang w:val="fr-FR"/>
        </w:rPr>
        <w:t>, ci-dess</w:t>
      </w:r>
      <w:r w:rsidR="006E5806" w:rsidRPr="00A66252">
        <w:rPr>
          <w:lang w:val="fr-FR"/>
        </w:rPr>
        <w:t>us) s</w:t>
      </w:r>
      <w:r w:rsidR="00A66252" w:rsidRPr="00A66252">
        <w:rPr>
          <w:lang w:val="fr-FR"/>
        </w:rPr>
        <w:t>’</w:t>
      </w:r>
      <w:r w:rsidR="006E5806" w:rsidRPr="00A66252">
        <w:rPr>
          <w:lang w:val="fr-FR"/>
        </w:rPr>
        <w:t xml:space="preserve">il était </w:t>
      </w:r>
      <w:r w:rsidR="00CC7DE1" w:rsidRPr="00A66252">
        <w:rPr>
          <w:lang w:val="fr-FR"/>
        </w:rPr>
        <w:t xml:space="preserve">éloigné </w:t>
      </w:r>
      <w:r w:rsidR="00CB1241" w:rsidRPr="00A66252">
        <w:rPr>
          <w:lang w:val="fr-FR"/>
        </w:rPr>
        <w:t xml:space="preserve">vers la </w:t>
      </w:r>
      <w:r w:rsidR="006E5806" w:rsidRPr="00A66252">
        <w:rPr>
          <w:lang w:val="fr-FR"/>
        </w:rPr>
        <w:t>Géorgie, le requérant introduisit une première demande de régularisation pour raisons médicales sur la base de l</w:t>
      </w:r>
      <w:r w:rsidR="00A66252" w:rsidRPr="00A66252">
        <w:rPr>
          <w:lang w:val="fr-FR"/>
        </w:rPr>
        <w:t>’</w:t>
      </w:r>
      <w:r w:rsidR="006E5806" w:rsidRPr="00A66252">
        <w:rPr>
          <w:lang w:val="fr-FR"/>
        </w:rPr>
        <w:t>article 9</w:t>
      </w:r>
      <w:r w:rsidR="006E5806" w:rsidRPr="00A66252">
        <w:rPr>
          <w:i/>
          <w:lang w:val="fr-FR"/>
        </w:rPr>
        <w:t>ter</w:t>
      </w:r>
      <w:r w:rsidR="006E5806" w:rsidRPr="00A66252">
        <w:rPr>
          <w:lang w:val="fr-FR"/>
        </w:rPr>
        <w:t xml:space="preserve"> de la loi sur les étrangers.</w:t>
      </w:r>
    </w:p>
    <w:bookmarkStart w:id="9" w:name="OE9TER1"/>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55</w:t>
      </w:r>
      <w:r w:rsidRPr="00A66252">
        <w:rPr>
          <w:lang w:val="fr-FR"/>
        </w:rPr>
        <w:fldChar w:fldCharType="end"/>
      </w:r>
      <w:bookmarkEnd w:id="9"/>
      <w:r w:rsidRPr="00A66252">
        <w:rPr>
          <w:lang w:val="fr-FR"/>
        </w:rPr>
        <w:t>.  </w:t>
      </w:r>
      <w:r w:rsidR="006E5806" w:rsidRPr="00A66252">
        <w:rPr>
          <w:lang w:val="fr-FR"/>
        </w:rPr>
        <w:t>Le 26 septembre 2007, l</w:t>
      </w:r>
      <w:r w:rsidR="00A66252" w:rsidRPr="00A66252">
        <w:rPr>
          <w:lang w:val="fr-FR"/>
        </w:rPr>
        <w:t>’</w:t>
      </w:r>
      <w:r w:rsidR="006E5806" w:rsidRPr="00A66252">
        <w:rPr>
          <w:lang w:val="fr-FR"/>
        </w:rPr>
        <w:t>OE rejeta la demande au motif qu</w:t>
      </w:r>
      <w:r w:rsidR="00A66252" w:rsidRPr="00A66252">
        <w:rPr>
          <w:lang w:val="fr-FR"/>
        </w:rPr>
        <w:t>’</w:t>
      </w:r>
      <w:r w:rsidR="006E5806" w:rsidRPr="00A66252">
        <w:rPr>
          <w:lang w:val="fr-FR"/>
        </w:rPr>
        <w:t>en vertu de l</w:t>
      </w:r>
      <w:r w:rsidR="00A66252" w:rsidRPr="00A66252">
        <w:rPr>
          <w:lang w:val="fr-FR"/>
        </w:rPr>
        <w:t>’</w:t>
      </w:r>
      <w:r w:rsidR="006E5806" w:rsidRPr="00A66252">
        <w:rPr>
          <w:lang w:val="fr-FR"/>
        </w:rPr>
        <w:t xml:space="preserve">article </w:t>
      </w:r>
      <w:r w:rsidR="0073082F" w:rsidRPr="00A66252">
        <w:rPr>
          <w:lang w:val="fr-FR"/>
        </w:rPr>
        <w:t>9</w:t>
      </w:r>
      <w:r w:rsidR="0073082F" w:rsidRPr="00A66252">
        <w:rPr>
          <w:i/>
          <w:lang w:val="fr-FR"/>
        </w:rPr>
        <w:t>ter</w:t>
      </w:r>
      <w:r w:rsidR="0073082F" w:rsidRPr="00A66252">
        <w:rPr>
          <w:lang w:val="fr-FR"/>
        </w:rPr>
        <w:t xml:space="preserve"> § 4</w:t>
      </w:r>
      <w:r w:rsidR="006E5806" w:rsidRPr="00A66252">
        <w:rPr>
          <w:lang w:val="fr-FR"/>
        </w:rPr>
        <w:t xml:space="preserve"> de la loi le requérant était exclu de l</w:t>
      </w:r>
      <w:r w:rsidR="00A66252" w:rsidRPr="00A66252">
        <w:rPr>
          <w:lang w:val="fr-FR"/>
        </w:rPr>
        <w:t>’</w:t>
      </w:r>
      <w:r w:rsidR="006E5806" w:rsidRPr="00A66252">
        <w:rPr>
          <w:lang w:val="fr-FR"/>
        </w:rPr>
        <w:t>application de celle-ci en raison des crimes graves ayant, entre-temps, conduit à l</w:t>
      </w:r>
      <w:r w:rsidR="00A66252" w:rsidRPr="00A66252">
        <w:rPr>
          <w:lang w:val="fr-FR"/>
        </w:rPr>
        <w:t>’</w:t>
      </w:r>
      <w:r w:rsidR="006E5806" w:rsidRPr="00A66252">
        <w:rPr>
          <w:lang w:val="fr-FR"/>
        </w:rPr>
        <w:t xml:space="preserve">arrêté ministériel de renvoi du 16 août 2007 (voir paragraphe </w:t>
      </w:r>
      <w:r w:rsidR="005C2983" w:rsidRPr="00A66252">
        <w:rPr>
          <w:lang w:val="fr-FR"/>
        </w:rPr>
        <w:fldChar w:fldCharType="begin"/>
      </w:r>
      <w:r w:rsidR="005C2983" w:rsidRPr="00A66252">
        <w:rPr>
          <w:lang w:val="fr-FR"/>
        </w:rPr>
        <w:instrText xml:space="preserve"> REF AMRENVOI \h </w:instrText>
      </w:r>
      <w:r w:rsidR="0080142D" w:rsidRPr="00A66252">
        <w:rPr>
          <w:lang w:val="fr-FR"/>
        </w:rPr>
        <w:instrText xml:space="preserve"> \* MERGEFORMAT </w:instrText>
      </w:r>
      <w:r w:rsidR="005C2983" w:rsidRPr="00A66252">
        <w:rPr>
          <w:lang w:val="fr-FR"/>
        </w:rPr>
      </w:r>
      <w:r w:rsidR="005C2983" w:rsidRPr="00A66252">
        <w:rPr>
          <w:lang w:val="fr-FR"/>
        </w:rPr>
        <w:fldChar w:fldCharType="separate"/>
      </w:r>
      <w:r w:rsidR="00A66252" w:rsidRPr="00A66252">
        <w:rPr>
          <w:noProof/>
          <w:lang w:val="fr-FR"/>
        </w:rPr>
        <w:t>73</w:t>
      </w:r>
      <w:r w:rsidR="005C2983" w:rsidRPr="00A66252">
        <w:rPr>
          <w:lang w:val="fr-FR"/>
        </w:rPr>
        <w:fldChar w:fldCharType="end"/>
      </w:r>
      <w:r w:rsidR="006E5806" w:rsidRPr="00A66252">
        <w:rPr>
          <w:lang w:val="fr-FR"/>
        </w:rPr>
        <w:t>, ci-dessous).</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56</w:t>
      </w:r>
      <w:r w:rsidRPr="00A66252">
        <w:rPr>
          <w:lang w:val="fr-FR"/>
        </w:rPr>
        <w:fldChar w:fldCharType="end"/>
      </w:r>
      <w:r w:rsidRPr="00A66252">
        <w:rPr>
          <w:lang w:val="fr-FR"/>
        </w:rPr>
        <w:t>.  </w:t>
      </w:r>
      <w:r w:rsidR="006E5806" w:rsidRPr="00A66252">
        <w:rPr>
          <w:lang w:val="fr-FR"/>
        </w:rPr>
        <w:t>Le 17 décembre 2007, le requérant introduisit une demande en suspension ordinaire et un recours en annulation de cette décision. Il reprochait notamment à l</w:t>
      </w:r>
      <w:r w:rsidR="00A66252" w:rsidRPr="00A66252">
        <w:rPr>
          <w:lang w:val="fr-FR"/>
        </w:rPr>
        <w:t>’</w:t>
      </w:r>
      <w:r w:rsidR="006E5806" w:rsidRPr="00A66252">
        <w:rPr>
          <w:lang w:val="fr-FR"/>
        </w:rPr>
        <w:t>OE de l</w:t>
      </w:r>
      <w:r w:rsidR="00A66252" w:rsidRPr="00A66252">
        <w:rPr>
          <w:lang w:val="fr-FR"/>
        </w:rPr>
        <w:t>’</w:t>
      </w:r>
      <w:r w:rsidR="006E5806" w:rsidRPr="00A66252">
        <w:rPr>
          <w:lang w:val="fr-FR"/>
        </w:rPr>
        <w:t>avoir exclu de l</w:t>
      </w:r>
      <w:r w:rsidR="00A66252" w:rsidRPr="00A66252">
        <w:rPr>
          <w:lang w:val="fr-FR"/>
        </w:rPr>
        <w:t>’</w:t>
      </w:r>
      <w:r w:rsidR="006E5806" w:rsidRPr="00A66252">
        <w:rPr>
          <w:lang w:val="fr-FR"/>
        </w:rPr>
        <w:t>application de l</w:t>
      </w:r>
      <w:r w:rsidR="00A66252" w:rsidRPr="00A66252">
        <w:rPr>
          <w:lang w:val="fr-FR"/>
        </w:rPr>
        <w:t>’</w:t>
      </w:r>
      <w:r w:rsidR="00940DBB" w:rsidRPr="00A66252">
        <w:rPr>
          <w:lang w:val="fr-FR"/>
        </w:rPr>
        <w:t>article </w:t>
      </w:r>
      <w:r w:rsidR="00A016B2" w:rsidRPr="00A66252">
        <w:rPr>
          <w:lang w:val="fr-FR"/>
        </w:rPr>
        <w:t>9</w:t>
      </w:r>
      <w:r w:rsidR="00A016B2" w:rsidRPr="00A66252">
        <w:rPr>
          <w:i/>
          <w:lang w:val="fr-FR"/>
        </w:rPr>
        <w:t>ter</w:t>
      </w:r>
      <w:r w:rsidR="006E5806" w:rsidRPr="00A66252">
        <w:rPr>
          <w:lang w:val="fr-FR"/>
        </w:rPr>
        <w:t xml:space="preserve"> de la loi sur les étrangers en s</w:t>
      </w:r>
      <w:r w:rsidR="00A66252" w:rsidRPr="00A66252">
        <w:rPr>
          <w:lang w:val="fr-FR"/>
        </w:rPr>
        <w:t>’</w:t>
      </w:r>
      <w:r w:rsidR="006E5806" w:rsidRPr="00A66252">
        <w:rPr>
          <w:lang w:val="fr-FR"/>
        </w:rPr>
        <w:t>appuyant uniquement sur l</w:t>
      </w:r>
      <w:r w:rsidR="00A66252" w:rsidRPr="00A66252">
        <w:rPr>
          <w:lang w:val="fr-FR"/>
        </w:rPr>
        <w:t>’</w:t>
      </w:r>
      <w:r w:rsidR="006E5806" w:rsidRPr="00A66252">
        <w:rPr>
          <w:lang w:val="fr-FR"/>
        </w:rPr>
        <w:t>arrêté ministériel de renvoi sans investigation quant à son état de santé et aux risques qu</w:t>
      </w:r>
      <w:r w:rsidR="00A66252" w:rsidRPr="00A66252">
        <w:rPr>
          <w:lang w:val="fr-FR"/>
        </w:rPr>
        <w:t>’</w:t>
      </w:r>
      <w:r w:rsidR="006E5806" w:rsidRPr="00A66252">
        <w:rPr>
          <w:lang w:val="fr-FR"/>
        </w:rPr>
        <w:t>il encourait d</w:t>
      </w:r>
      <w:r w:rsidR="00A66252" w:rsidRPr="00A66252">
        <w:rPr>
          <w:lang w:val="fr-FR"/>
        </w:rPr>
        <w:t>’</w:t>
      </w:r>
      <w:r w:rsidR="006E5806" w:rsidRPr="00A66252">
        <w:rPr>
          <w:lang w:val="fr-FR"/>
        </w:rPr>
        <w:t>être exposé à un traitement contraire à l</w:t>
      </w:r>
      <w:r w:rsidR="00A66252" w:rsidRPr="00A66252">
        <w:rPr>
          <w:lang w:val="fr-FR"/>
        </w:rPr>
        <w:t>’</w:t>
      </w:r>
      <w:r w:rsidR="006E5806" w:rsidRPr="00A66252">
        <w:rPr>
          <w:lang w:val="fr-FR"/>
        </w:rPr>
        <w:t xml:space="preserve">article 3 de </w:t>
      </w:r>
      <w:r w:rsidR="006E5806" w:rsidRPr="00A66252">
        <w:rPr>
          <w:lang w:val="fr-FR"/>
        </w:rPr>
        <w:lastRenderedPageBreak/>
        <w:t>la Convention et sans avoir procédé à une mise en balance des intérêts en présence comme le requiert l</w:t>
      </w:r>
      <w:r w:rsidR="00A66252" w:rsidRPr="00A66252">
        <w:rPr>
          <w:lang w:val="fr-FR"/>
        </w:rPr>
        <w:t>’</w:t>
      </w:r>
      <w:r w:rsidR="006E5806" w:rsidRPr="00A66252">
        <w:rPr>
          <w:lang w:val="fr-FR"/>
        </w:rPr>
        <w:t>article 8 de la Convention.</w:t>
      </w:r>
    </w:p>
    <w:bookmarkStart w:id="10" w:name="CCE9TER1"/>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57</w:t>
      </w:r>
      <w:r w:rsidRPr="00A66252">
        <w:rPr>
          <w:lang w:val="fr-FR"/>
        </w:rPr>
        <w:fldChar w:fldCharType="end"/>
      </w:r>
      <w:bookmarkEnd w:id="10"/>
      <w:r w:rsidRPr="00A66252">
        <w:rPr>
          <w:lang w:val="fr-FR"/>
        </w:rPr>
        <w:t>.  </w:t>
      </w:r>
      <w:r w:rsidR="006E5806" w:rsidRPr="00A66252">
        <w:rPr>
          <w:lang w:val="fr-FR"/>
        </w:rPr>
        <w:t>Par un arrêt du 20 août 2008, le CCE rejeta le recours en ces termes :</w:t>
      </w:r>
    </w:p>
    <w:p w:rsidR="006E5806" w:rsidRPr="00A66252" w:rsidRDefault="005145C4" w:rsidP="00A66252">
      <w:pPr>
        <w:pStyle w:val="ECHRParaQuote"/>
        <w:rPr>
          <w:lang w:val="fr-FR"/>
        </w:rPr>
      </w:pPr>
      <w:r w:rsidRPr="00A66252">
        <w:rPr>
          <w:lang w:val="fr-FR"/>
        </w:rPr>
        <w:t>« </w:t>
      </w:r>
      <w:r w:rsidR="006E5806" w:rsidRPr="00A66252">
        <w:rPr>
          <w:lang w:val="fr-FR"/>
        </w:rPr>
        <w:t>Il résulte de la lettre de [l</w:t>
      </w:r>
      <w:r w:rsidR="00A66252" w:rsidRPr="00A66252">
        <w:rPr>
          <w:lang w:val="fr-FR"/>
        </w:rPr>
        <w:t>’</w:t>
      </w:r>
      <w:r w:rsidR="006E5806" w:rsidRPr="00A66252">
        <w:rPr>
          <w:lang w:val="fr-FR"/>
        </w:rPr>
        <w:t xml:space="preserve">article </w:t>
      </w:r>
      <w:r w:rsidR="00A016B2" w:rsidRPr="00A66252">
        <w:rPr>
          <w:lang w:val="fr-FR"/>
        </w:rPr>
        <w:t>9</w:t>
      </w:r>
      <w:r w:rsidR="00A016B2" w:rsidRPr="00A66252">
        <w:rPr>
          <w:i/>
          <w:lang w:val="fr-FR"/>
        </w:rPr>
        <w:t>ter</w:t>
      </w:r>
      <w:r w:rsidR="006E5806" w:rsidRPr="00A66252">
        <w:rPr>
          <w:lang w:val="fr-FR"/>
        </w:rPr>
        <w:t>] que rien n</w:t>
      </w:r>
      <w:r w:rsidR="00A66252" w:rsidRPr="00A66252">
        <w:rPr>
          <w:lang w:val="fr-FR"/>
        </w:rPr>
        <w:t>’</w:t>
      </w:r>
      <w:r w:rsidR="006E5806" w:rsidRPr="00A66252">
        <w:rPr>
          <w:lang w:val="fr-FR"/>
        </w:rPr>
        <w:t>empêche l</w:t>
      </w:r>
      <w:r w:rsidR="00A66252" w:rsidRPr="00A66252">
        <w:rPr>
          <w:lang w:val="fr-FR"/>
        </w:rPr>
        <w:t>’</w:t>
      </w:r>
      <w:r w:rsidR="006E5806" w:rsidRPr="00A66252">
        <w:rPr>
          <w:lang w:val="fr-FR"/>
        </w:rPr>
        <w:t>autorité administrative, qui est saisie d</w:t>
      </w:r>
      <w:r w:rsidR="00A66252" w:rsidRPr="00A66252">
        <w:rPr>
          <w:lang w:val="fr-FR"/>
        </w:rPr>
        <w:t>’</w:t>
      </w:r>
      <w:r w:rsidR="006E5806" w:rsidRPr="00A66252">
        <w:rPr>
          <w:lang w:val="fr-FR"/>
        </w:rPr>
        <w:t>une demande d</w:t>
      </w:r>
      <w:r w:rsidR="00A66252" w:rsidRPr="00A66252">
        <w:rPr>
          <w:lang w:val="fr-FR"/>
        </w:rPr>
        <w:t>’</w:t>
      </w:r>
      <w:r w:rsidR="006E5806" w:rsidRPr="00A66252">
        <w:rPr>
          <w:lang w:val="fr-FR"/>
        </w:rPr>
        <w:t>autorisation de séjour sur la base de l</w:t>
      </w:r>
      <w:r w:rsidR="00A66252" w:rsidRPr="00A66252">
        <w:rPr>
          <w:lang w:val="fr-FR"/>
        </w:rPr>
        <w:t>’</w:t>
      </w:r>
      <w:r w:rsidR="006E5806" w:rsidRPr="00A66252">
        <w:rPr>
          <w:lang w:val="fr-FR"/>
        </w:rPr>
        <w:t xml:space="preserve">article </w:t>
      </w:r>
      <w:r w:rsidR="00A016B2" w:rsidRPr="00A66252">
        <w:rPr>
          <w:lang w:val="fr-FR"/>
        </w:rPr>
        <w:t>9</w:t>
      </w:r>
      <w:r w:rsidR="00A016B2" w:rsidRPr="00A66252">
        <w:rPr>
          <w:i/>
          <w:lang w:val="fr-FR"/>
        </w:rPr>
        <w:t>ter</w:t>
      </w:r>
      <w:r w:rsidR="00A016B2" w:rsidRPr="00A66252">
        <w:rPr>
          <w:lang w:val="fr-FR"/>
        </w:rPr>
        <w:t xml:space="preserve"> </w:t>
      </w:r>
      <w:r w:rsidR="006E5806" w:rsidRPr="00A66252">
        <w:rPr>
          <w:lang w:val="fr-FR"/>
        </w:rPr>
        <w:t>précité mais qui considère d</w:t>
      </w:r>
      <w:r w:rsidR="00A66252" w:rsidRPr="00A66252">
        <w:rPr>
          <w:lang w:val="fr-FR"/>
        </w:rPr>
        <w:t>’</w:t>
      </w:r>
      <w:r w:rsidR="006E5806" w:rsidRPr="00A66252">
        <w:rPr>
          <w:lang w:val="fr-FR"/>
        </w:rPr>
        <w:t>emblée qu</w:t>
      </w:r>
      <w:r w:rsidR="00A66252" w:rsidRPr="00A66252">
        <w:rPr>
          <w:lang w:val="fr-FR"/>
        </w:rPr>
        <w:t>’</w:t>
      </w:r>
      <w:r w:rsidR="006E5806" w:rsidRPr="00A66252">
        <w:rPr>
          <w:lang w:val="fr-FR"/>
        </w:rPr>
        <w:t>il existe de sérieux motifs de croire que l</w:t>
      </w:r>
      <w:r w:rsidR="00A66252" w:rsidRPr="00A66252">
        <w:rPr>
          <w:lang w:val="fr-FR"/>
        </w:rPr>
        <w:t>’</w:t>
      </w:r>
      <w:r w:rsidR="006E5806" w:rsidRPr="00A66252">
        <w:rPr>
          <w:lang w:val="fr-FR"/>
        </w:rPr>
        <w:t>intéressé a commis des actes visés à l</w:t>
      </w:r>
      <w:r w:rsidR="00A66252" w:rsidRPr="00A66252">
        <w:rPr>
          <w:lang w:val="fr-FR"/>
        </w:rPr>
        <w:t>’</w:t>
      </w:r>
      <w:r w:rsidR="006E5806" w:rsidRPr="00A66252">
        <w:rPr>
          <w:lang w:val="fr-FR"/>
        </w:rPr>
        <w:t xml:space="preserve">article 55/4 précité, de statuer directement sur son exclusion du bénéfice dudit article </w:t>
      </w:r>
      <w:r w:rsidR="00A016B2" w:rsidRPr="00A66252">
        <w:rPr>
          <w:lang w:val="fr-FR"/>
        </w:rPr>
        <w:t>9</w:t>
      </w:r>
      <w:r w:rsidR="00A016B2" w:rsidRPr="00A66252">
        <w:rPr>
          <w:i/>
          <w:lang w:val="fr-FR"/>
        </w:rPr>
        <w:t>ter</w:t>
      </w:r>
      <w:r w:rsidR="006E5806" w:rsidRPr="00A66252">
        <w:rPr>
          <w:lang w:val="fr-FR"/>
        </w:rPr>
        <w:t>, sans devoir préalablement se prononcer sur les éléments médicaux soumis à son appréciation, un tel examen se révélant du reste superflu dans un tel cas de figure puisque l</w:t>
      </w:r>
      <w:r w:rsidR="00A66252" w:rsidRPr="00A66252">
        <w:rPr>
          <w:lang w:val="fr-FR"/>
        </w:rPr>
        <w:t>’</w:t>
      </w:r>
      <w:r w:rsidR="006E5806" w:rsidRPr="00A66252">
        <w:rPr>
          <w:lang w:val="fr-FR"/>
        </w:rPr>
        <w:t>auteur de l</w:t>
      </w:r>
      <w:r w:rsidR="00A66252" w:rsidRPr="00A66252">
        <w:rPr>
          <w:lang w:val="fr-FR"/>
        </w:rPr>
        <w:t>’</w:t>
      </w:r>
      <w:r w:rsidR="006E5806" w:rsidRPr="00A66252">
        <w:rPr>
          <w:lang w:val="fr-FR"/>
        </w:rPr>
        <w:t>acte a en tout état de cause décidé de l</w:t>
      </w:r>
      <w:r w:rsidR="00A66252" w:rsidRPr="00A66252">
        <w:rPr>
          <w:lang w:val="fr-FR"/>
        </w:rPr>
        <w:t>’</w:t>
      </w:r>
      <w:r w:rsidR="006E5806" w:rsidRPr="00A66252">
        <w:rPr>
          <w:lang w:val="fr-FR"/>
        </w:rPr>
        <w:t>exclusion de l</w:t>
      </w:r>
      <w:r w:rsidR="00A66252" w:rsidRPr="00A66252">
        <w:rPr>
          <w:lang w:val="fr-FR"/>
        </w:rPr>
        <w:t>’</w:t>
      </w:r>
      <w:r w:rsidR="006E5806" w:rsidRPr="00A66252">
        <w:rPr>
          <w:lang w:val="fr-FR"/>
        </w:rPr>
        <w:t>intéressé.</w:t>
      </w:r>
    </w:p>
    <w:p w:rsidR="006E5806" w:rsidRPr="00A66252" w:rsidRDefault="006E5806" w:rsidP="00A66252">
      <w:pPr>
        <w:pStyle w:val="ECHRParaQuote"/>
        <w:rPr>
          <w:lang w:val="fr-FR"/>
        </w:rPr>
      </w:pPr>
      <w:r w:rsidRPr="00A66252">
        <w:rPr>
          <w:lang w:val="fr-FR"/>
        </w:rPr>
        <w:t>(...)</w:t>
      </w:r>
    </w:p>
    <w:p w:rsidR="006E5806" w:rsidRPr="00A66252" w:rsidRDefault="006E5806" w:rsidP="00A66252">
      <w:pPr>
        <w:pStyle w:val="ECHRParaQuote"/>
        <w:rPr>
          <w:lang w:val="fr-FR"/>
        </w:rPr>
      </w:pPr>
      <w:r w:rsidRPr="00A66252">
        <w:rPr>
          <w:lang w:val="fr-FR"/>
        </w:rPr>
        <w:t>S</w:t>
      </w:r>
      <w:r w:rsidR="00A66252" w:rsidRPr="00A66252">
        <w:rPr>
          <w:lang w:val="fr-FR"/>
        </w:rPr>
        <w:t>’</w:t>
      </w:r>
      <w:r w:rsidRPr="00A66252">
        <w:rPr>
          <w:lang w:val="fr-FR"/>
        </w:rPr>
        <w:t>agissant de la violation alléguée de l</w:t>
      </w:r>
      <w:r w:rsidR="00A66252" w:rsidRPr="00A66252">
        <w:rPr>
          <w:lang w:val="fr-FR"/>
        </w:rPr>
        <w:t>’</w:t>
      </w:r>
      <w:r w:rsidRPr="00A66252">
        <w:rPr>
          <w:lang w:val="fr-FR"/>
        </w:rPr>
        <w:t>article 3 de la Convention, force est de constater que l</w:t>
      </w:r>
      <w:r w:rsidR="00A66252" w:rsidRPr="00A66252">
        <w:rPr>
          <w:lang w:val="fr-FR"/>
        </w:rPr>
        <w:t>’</w:t>
      </w:r>
      <w:r w:rsidRPr="00A66252">
        <w:rPr>
          <w:lang w:val="fr-FR"/>
        </w:rPr>
        <w:t>acte attaqué dans le présent recours n</w:t>
      </w:r>
      <w:r w:rsidR="00A66252" w:rsidRPr="00A66252">
        <w:rPr>
          <w:lang w:val="fr-FR"/>
        </w:rPr>
        <w:t>’</w:t>
      </w:r>
      <w:r w:rsidRPr="00A66252">
        <w:rPr>
          <w:lang w:val="fr-FR"/>
        </w:rPr>
        <w:t>est assorti d</w:t>
      </w:r>
      <w:r w:rsidR="00A66252" w:rsidRPr="00A66252">
        <w:rPr>
          <w:lang w:val="fr-FR"/>
        </w:rPr>
        <w:t>’</w:t>
      </w:r>
      <w:r w:rsidRPr="00A66252">
        <w:rPr>
          <w:lang w:val="fr-FR"/>
        </w:rPr>
        <w:t>aucune mesure d</w:t>
      </w:r>
      <w:r w:rsidR="00A66252" w:rsidRPr="00A66252">
        <w:rPr>
          <w:lang w:val="fr-FR"/>
        </w:rPr>
        <w:t>’</w:t>
      </w:r>
      <w:r w:rsidRPr="00A66252">
        <w:rPr>
          <w:lang w:val="fr-FR"/>
        </w:rPr>
        <w:t>éloignement du territoire, en sorte que les risques d</w:t>
      </w:r>
      <w:r w:rsidR="00A66252" w:rsidRPr="00A66252">
        <w:rPr>
          <w:lang w:val="fr-FR"/>
        </w:rPr>
        <w:t>’</w:t>
      </w:r>
      <w:r w:rsidRPr="00A66252">
        <w:rPr>
          <w:lang w:val="fr-FR"/>
        </w:rPr>
        <w:t>interruption de traitement invoqués en cas de retour en Géorgie relèvent en l</w:t>
      </w:r>
      <w:r w:rsidR="00A66252" w:rsidRPr="00A66252">
        <w:rPr>
          <w:lang w:val="fr-FR"/>
        </w:rPr>
        <w:t>’</w:t>
      </w:r>
      <w:r w:rsidRPr="00A66252">
        <w:rPr>
          <w:lang w:val="fr-FR"/>
        </w:rPr>
        <w:t>occurrence de l</w:t>
      </w:r>
      <w:r w:rsidR="00A66252" w:rsidRPr="00A66252">
        <w:rPr>
          <w:lang w:val="fr-FR"/>
        </w:rPr>
        <w:t>’</w:t>
      </w:r>
      <w:r w:rsidRPr="00A66252">
        <w:rPr>
          <w:lang w:val="fr-FR"/>
        </w:rPr>
        <w:t>hypothèse.</w:t>
      </w:r>
      <w:r w:rsidR="005145C4" w:rsidRPr="00A66252">
        <w:rPr>
          <w:lang w:val="fr-FR"/>
        </w:rPr>
        <w:t> </w:t>
      </w:r>
      <w:r w:rsidRPr="00A66252">
        <w:rPr>
          <w:lang w:val="fr-FR"/>
        </w:rPr>
        <w:t>»</w:t>
      </w:r>
    </w:p>
    <w:bookmarkStart w:id="11" w:name="CCEART8"/>
    <w:p w:rsidR="00764D02" w:rsidRPr="00A66252" w:rsidRDefault="001321E7" w:rsidP="00A66252">
      <w:pPr>
        <w:pStyle w:val="ECHRPara"/>
        <w:rPr>
          <w:i/>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58</w:t>
      </w:r>
      <w:r w:rsidRPr="00A66252">
        <w:rPr>
          <w:lang w:val="fr-FR"/>
        </w:rPr>
        <w:fldChar w:fldCharType="end"/>
      </w:r>
      <w:bookmarkEnd w:id="11"/>
      <w:r w:rsidRPr="00A66252">
        <w:rPr>
          <w:lang w:val="fr-FR"/>
        </w:rPr>
        <w:t>.  </w:t>
      </w:r>
      <w:r w:rsidR="006E5806" w:rsidRPr="00A66252">
        <w:rPr>
          <w:lang w:val="fr-FR"/>
        </w:rPr>
        <w:t>Le CCE écarta également le grief tiré de l</w:t>
      </w:r>
      <w:r w:rsidR="00A66252" w:rsidRPr="00A66252">
        <w:rPr>
          <w:lang w:val="fr-FR"/>
        </w:rPr>
        <w:t>’</w:t>
      </w:r>
      <w:r w:rsidR="006E5806" w:rsidRPr="00A66252">
        <w:rPr>
          <w:lang w:val="fr-FR"/>
        </w:rPr>
        <w:t>article 8 de la Convention eu égard au fait que l</w:t>
      </w:r>
      <w:r w:rsidR="00A66252" w:rsidRPr="00A66252">
        <w:rPr>
          <w:lang w:val="fr-FR"/>
        </w:rPr>
        <w:t>’</w:t>
      </w:r>
      <w:r w:rsidR="006E5806" w:rsidRPr="00A66252">
        <w:rPr>
          <w:lang w:val="fr-FR"/>
        </w:rPr>
        <w:t>acte attaqué n</w:t>
      </w:r>
      <w:r w:rsidR="00A66252" w:rsidRPr="00A66252">
        <w:rPr>
          <w:lang w:val="fr-FR"/>
        </w:rPr>
        <w:t>’</w:t>
      </w:r>
      <w:r w:rsidR="006E5806" w:rsidRPr="00A66252">
        <w:rPr>
          <w:lang w:val="fr-FR"/>
        </w:rPr>
        <w:t>était assorti d</w:t>
      </w:r>
      <w:r w:rsidR="00A66252" w:rsidRPr="00A66252">
        <w:rPr>
          <w:lang w:val="fr-FR"/>
        </w:rPr>
        <w:t>’</w:t>
      </w:r>
      <w:r w:rsidR="006E5806" w:rsidRPr="00A66252">
        <w:rPr>
          <w:lang w:val="fr-FR"/>
        </w:rPr>
        <w:t>aucune mesure d</w:t>
      </w:r>
      <w:r w:rsidR="00A66252" w:rsidRPr="00A66252">
        <w:rPr>
          <w:lang w:val="fr-FR"/>
        </w:rPr>
        <w:t>’</w:t>
      </w:r>
      <w:r w:rsidR="006E5806" w:rsidRPr="00A66252">
        <w:rPr>
          <w:lang w:val="fr-FR"/>
        </w:rPr>
        <w:t>éloignement du territoire.</w:t>
      </w:r>
    </w:p>
    <w:p w:rsidR="006E5806" w:rsidRPr="00A66252" w:rsidRDefault="00CD2EF5" w:rsidP="00A66252">
      <w:pPr>
        <w:pStyle w:val="ECHRHeading3"/>
        <w:rPr>
          <w:lang w:val="fr-FR"/>
        </w:rPr>
      </w:pPr>
      <w:r w:rsidRPr="00A66252">
        <w:rPr>
          <w:lang w:val="fr-FR"/>
        </w:rPr>
        <w:t>2</w:t>
      </w:r>
      <w:r w:rsidR="00276F84" w:rsidRPr="00A66252">
        <w:rPr>
          <w:lang w:val="fr-FR"/>
        </w:rPr>
        <w:t>.  </w:t>
      </w:r>
      <w:r w:rsidR="006E5806" w:rsidRPr="00A66252">
        <w:rPr>
          <w:lang w:val="fr-FR"/>
        </w:rPr>
        <w:t>Seconde demande de régularisation pour raisons médicales</w:t>
      </w:r>
    </w:p>
    <w:bookmarkStart w:id="12" w:name="Dde9ter2"/>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59</w:t>
      </w:r>
      <w:r w:rsidRPr="00A66252">
        <w:rPr>
          <w:lang w:val="fr-FR"/>
        </w:rPr>
        <w:fldChar w:fldCharType="end"/>
      </w:r>
      <w:bookmarkEnd w:id="12"/>
      <w:r w:rsidRPr="00A66252">
        <w:rPr>
          <w:lang w:val="fr-FR"/>
        </w:rPr>
        <w:t>.  </w:t>
      </w:r>
      <w:r w:rsidR="006E5806" w:rsidRPr="00A66252">
        <w:rPr>
          <w:lang w:val="fr-FR"/>
        </w:rPr>
        <w:t xml:space="preserve">Entretemps, le </w:t>
      </w:r>
      <w:r w:rsidR="004F7C05" w:rsidRPr="00A66252">
        <w:rPr>
          <w:lang w:val="fr-FR"/>
        </w:rPr>
        <w:t>3</w:t>
      </w:r>
      <w:r w:rsidR="006E5806" w:rsidRPr="00A66252">
        <w:rPr>
          <w:lang w:val="fr-FR"/>
        </w:rPr>
        <w:t xml:space="preserve"> avril 2008, le requérant avait introduit une seconde demande de régularisation pour raisons médicales sur base de l</w:t>
      </w:r>
      <w:r w:rsidR="00A66252" w:rsidRPr="00A66252">
        <w:rPr>
          <w:lang w:val="fr-FR"/>
        </w:rPr>
        <w:t>’</w:t>
      </w:r>
      <w:r w:rsidR="006E5806" w:rsidRPr="00A66252">
        <w:rPr>
          <w:lang w:val="fr-FR"/>
        </w:rPr>
        <w:t>article 9</w:t>
      </w:r>
      <w:r w:rsidR="006E5806" w:rsidRPr="00A66252">
        <w:rPr>
          <w:i/>
          <w:lang w:val="fr-FR"/>
        </w:rPr>
        <w:t>ter</w:t>
      </w:r>
      <w:r w:rsidR="006E5806" w:rsidRPr="00A66252">
        <w:rPr>
          <w:lang w:val="fr-FR"/>
        </w:rPr>
        <w:t xml:space="preserve"> de la loi sur les étrangers. Outre ses diverses pathologies, il invoquait sa présence ininterrompue depuis onze ans sur le territoire belge et les attaches sociales durables qu</w:t>
      </w:r>
      <w:r w:rsidR="00A66252" w:rsidRPr="00A66252">
        <w:rPr>
          <w:lang w:val="fr-FR"/>
        </w:rPr>
        <w:t>’</w:t>
      </w:r>
      <w:r w:rsidR="006E5806" w:rsidRPr="00A66252">
        <w:rPr>
          <w:lang w:val="fr-FR"/>
        </w:rPr>
        <w:t>il avait en Belgique ainsi que sa situation familiale. Il faisait également valoir qu</w:t>
      </w:r>
      <w:r w:rsidR="00A66252" w:rsidRPr="00A66252">
        <w:rPr>
          <w:lang w:val="fr-FR"/>
        </w:rPr>
        <w:t>’</w:t>
      </w:r>
      <w:r w:rsidR="006E5806" w:rsidRPr="00A66252">
        <w:rPr>
          <w:lang w:val="fr-FR"/>
        </w:rPr>
        <w:t>en cas de retour il se verrait livré à lui-même, malade, dans un pays où il n</w:t>
      </w:r>
      <w:r w:rsidR="00A66252" w:rsidRPr="00A66252">
        <w:rPr>
          <w:lang w:val="fr-FR"/>
        </w:rPr>
        <w:t>’</w:t>
      </w:r>
      <w:r w:rsidR="006E5806" w:rsidRPr="00A66252">
        <w:rPr>
          <w:lang w:val="fr-FR"/>
        </w:rPr>
        <w:t>avait plus d</w:t>
      </w:r>
      <w:r w:rsidR="00A66252" w:rsidRPr="00A66252">
        <w:rPr>
          <w:lang w:val="fr-FR"/>
        </w:rPr>
        <w:t>’</w:t>
      </w:r>
      <w:r w:rsidR="006E5806" w:rsidRPr="00A66252">
        <w:rPr>
          <w:lang w:val="fr-FR"/>
        </w:rPr>
        <w:t>attache familiale et dont les structures médicales étaient inadaptées et coûteuses.</w:t>
      </w:r>
    </w:p>
    <w:bookmarkStart w:id="13" w:name="OE9TER2"/>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60</w:t>
      </w:r>
      <w:r w:rsidRPr="00A66252">
        <w:rPr>
          <w:lang w:val="fr-FR"/>
        </w:rPr>
        <w:fldChar w:fldCharType="end"/>
      </w:r>
      <w:bookmarkEnd w:id="13"/>
      <w:r w:rsidRPr="00A66252">
        <w:rPr>
          <w:lang w:val="fr-FR"/>
        </w:rPr>
        <w:t>.  </w:t>
      </w:r>
      <w:r w:rsidR="006E5806" w:rsidRPr="00A66252">
        <w:rPr>
          <w:lang w:val="fr-FR"/>
        </w:rPr>
        <w:t>Cette demande fut rejetée par l</w:t>
      </w:r>
      <w:r w:rsidR="00A66252" w:rsidRPr="00A66252">
        <w:rPr>
          <w:lang w:val="fr-FR"/>
        </w:rPr>
        <w:t>’</w:t>
      </w:r>
      <w:r w:rsidR="006E5806" w:rsidRPr="00A66252">
        <w:rPr>
          <w:lang w:val="fr-FR"/>
        </w:rPr>
        <w:t xml:space="preserve">OE le 4 juin 2008 pour le même motif que précédemment (voir paragraphe </w:t>
      </w:r>
      <w:r w:rsidR="00F7184B" w:rsidRPr="00A66252">
        <w:rPr>
          <w:lang w:val="fr-FR"/>
        </w:rPr>
        <w:t>55</w:t>
      </w:r>
      <w:r w:rsidR="00FC051D" w:rsidRPr="00A66252">
        <w:rPr>
          <w:lang w:val="fr-FR"/>
        </w:rPr>
        <w:t>,</w:t>
      </w:r>
      <w:r w:rsidR="006E5806" w:rsidRPr="00A66252">
        <w:rPr>
          <w:lang w:val="fr-FR"/>
        </w:rPr>
        <w:t xml:space="preserve"> ci-dessus).</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61</w:t>
      </w:r>
      <w:r w:rsidRPr="00A66252">
        <w:rPr>
          <w:lang w:val="fr-FR"/>
        </w:rPr>
        <w:fldChar w:fldCharType="end"/>
      </w:r>
      <w:r w:rsidRPr="00A66252">
        <w:rPr>
          <w:lang w:val="fr-FR"/>
        </w:rPr>
        <w:t>.  </w:t>
      </w:r>
      <w:r w:rsidR="006E5806" w:rsidRPr="00A66252">
        <w:rPr>
          <w:lang w:val="fr-FR"/>
        </w:rPr>
        <w:t>Le requérant introduisit le 16 juillet 2008 un recours en annulation de cette décision devant le CCE.</w:t>
      </w:r>
    </w:p>
    <w:bookmarkStart w:id="14" w:name="CCE9TER2"/>
    <w:p w:rsidR="00A66252" w:rsidRPr="00A66252" w:rsidRDefault="00FC051D" w:rsidP="00A66252">
      <w:pPr>
        <w:pStyle w:val="ECHRPara"/>
        <w:ind w:firstLine="232"/>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62</w:t>
      </w:r>
      <w:r w:rsidRPr="00A66252">
        <w:rPr>
          <w:szCs w:val="24"/>
          <w:lang w:val="fr-FR"/>
        </w:rPr>
        <w:fldChar w:fldCharType="end"/>
      </w:r>
      <w:bookmarkEnd w:id="14"/>
      <w:r w:rsidRPr="00A66252">
        <w:rPr>
          <w:szCs w:val="24"/>
          <w:lang w:val="fr-FR"/>
        </w:rPr>
        <w:t xml:space="preserve">.  Par un </w:t>
      </w:r>
      <w:proofErr w:type="spellStart"/>
      <w:r w:rsidRPr="00A66252">
        <w:rPr>
          <w:szCs w:val="24"/>
          <w:lang w:val="fr-FR"/>
        </w:rPr>
        <w:t>arrêt</w:t>
      </w:r>
      <w:proofErr w:type="spellEnd"/>
      <w:r w:rsidRPr="00A66252">
        <w:rPr>
          <w:szCs w:val="24"/>
          <w:lang w:val="fr-FR"/>
        </w:rPr>
        <w:t xml:space="preserve"> du 21 </w:t>
      </w:r>
      <w:r w:rsidR="00C63AA5" w:rsidRPr="00A66252">
        <w:rPr>
          <w:szCs w:val="24"/>
          <w:lang w:val="fr-FR"/>
        </w:rPr>
        <w:t>mai</w:t>
      </w:r>
      <w:r w:rsidRPr="00A66252">
        <w:rPr>
          <w:szCs w:val="24"/>
          <w:lang w:val="fr-FR"/>
        </w:rPr>
        <w:t xml:space="preserve"> 2015, le CCE rejeta le recours en annulation. Il estima que lorsqu</w:t>
      </w:r>
      <w:r w:rsidR="00A66252" w:rsidRPr="00A66252">
        <w:rPr>
          <w:szCs w:val="24"/>
          <w:lang w:val="fr-FR"/>
        </w:rPr>
        <w:t>’</w:t>
      </w:r>
      <w:r w:rsidRPr="00A66252">
        <w:rPr>
          <w:szCs w:val="24"/>
          <w:lang w:val="fr-FR"/>
        </w:rPr>
        <w:t>il était fait application de la disposition d</w:t>
      </w:r>
      <w:r w:rsidR="00A66252" w:rsidRPr="00A66252">
        <w:rPr>
          <w:szCs w:val="24"/>
          <w:lang w:val="fr-FR"/>
        </w:rPr>
        <w:t>’</w:t>
      </w:r>
      <w:r w:rsidRPr="00A66252">
        <w:rPr>
          <w:szCs w:val="24"/>
          <w:lang w:val="fr-FR"/>
        </w:rPr>
        <w:t>exclusion précitée, l</w:t>
      </w:r>
      <w:r w:rsidR="00A66252" w:rsidRPr="00A66252">
        <w:rPr>
          <w:szCs w:val="24"/>
          <w:lang w:val="fr-FR"/>
        </w:rPr>
        <w:t>’</w:t>
      </w:r>
      <w:r w:rsidRPr="00A66252">
        <w:rPr>
          <w:szCs w:val="24"/>
          <w:lang w:val="fr-FR"/>
        </w:rPr>
        <w:t>OE n</w:t>
      </w:r>
      <w:r w:rsidR="00A66252" w:rsidRPr="00A66252">
        <w:rPr>
          <w:szCs w:val="24"/>
          <w:lang w:val="fr-FR"/>
        </w:rPr>
        <w:t>’</w:t>
      </w:r>
      <w:r w:rsidRPr="00A66252">
        <w:rPr>
          <w:szCs w:val="24"/>
          <w:lang w:val="fr-FR"/>
        </w:rPr>
        <w:t xml:space="preserve">était pas tenu de se prononcer sur les </w:t>
      </w:r>
      <w:proofErr w:type="spellStart"/>
      <w:r w:rsidRPr="00A66252">
        <w:rPr>
          <w:szCs w:val="24"/>
          <w:lang w:val="fr-FR"/>
        </w:rPr>
        <w:t>éléments</w:t>
      </w:r>
      <w:proofErr w:type="spellEnd"/>
      <w:r w:rsidRPr="00A66252">
        <w:rPr>
          <w:szCs w:val="24"/>
          <w:lang w:val="fr-FR"/>
        </w:rPr>
        <w:t xml:space="preserve"> </w:t>
      </w:r>
      <w:proofErr w:type="spellStart"/>
      <w:r w:rsidRPr="00A66252">
        <w:rPr>
          <w:szCs w:val="24"/>
          <w:lang w:val="fr-FR"/>
        </w:rPr>
        <w:t>médicaux</w:t>
      </w:r>
      <w:proofErr w:type="spellEnd"/>
      <w:r w:rsidRPr="00A66252">
        <w:rPr>
          <w:szCs w:val="24"/>
          <w:lang w:val="fr-FR"/>
        </w:rPr>
        <w:t xml:space="preserve"> et autres contenus dans la demande de régularisation. Selon le CCE, un tel examen était superflu du seul fait de l</w:t>
      </w:r>
      <w:r w:rsidR="00A66252" w:rsidRPr="00A66252">
        <w:rPr>
          <w:szCs w:val="24"/>
          <w:lang w:val="fr-FR"/>
        </w:rPr>
        <w:t>’</w:t>
      </w:r>
      <w:r w:rsidRPr="00A66252">
        <w:rPr>
          <w:szCs w:val="24"/>
          <w:lang w:val="fr-FR"/>
        </w:rPr>
        <w:t>exclusion. Le CCE rappela qu</w:t>
      </w:r>
      <w:r w:rsidR="00A66252" w:rsidRPr="00A66252">
        <w:rPr>
          <w:szCs w:val="24"/>
          <w:lang w:val="fr-FR"/>
        </w:rPr>
        <w:t>’</w:t>
      </w:r>
      <w:r w:rsidRPr="00A66252">
        <w:rPr>
          <w:szCs w:val="24"/>
          <w:lang w:val="fr-FR"/>
        </w:rPr>
        <w:t>il agissait dans le cadre d</w:t>
      </w:r>
      <w:r w:rsidR="00A66252" w:rsidRPr="00A66252">
        <w:rPr>
          <w:szCs w:val="24"/>
          <w:lang w:val="fr-FR"/>
        </w:rPr>
        <w:t>’</w:t>
      </w:r>
      <w:r w:rsidRPr="00A66252">
        <w:rPr>
          <w:szCs w:val="24"/>
          <w:lang w:val="fr-FR"/>
        </w:rPr>
        <w:t xml:space="preserve">un </w:t>
      </w:r>
      <w:proofErr w:type="spellStart"/>
      <w:r w:rsidRPr="00A66252">
        <w:rPr>
          <w:szCs w:val="24"/>
          <w:lang w:val="fr-FR"/>
        </w:rPr>
        <w:t>contrôle</w:t>
      </w:r>
      <w:proofErr w:type="spellEnd"/>
      <w:r w:rsidRPr="00A66252">
        <w:rPr>
          <w:szCs w:val="24"/>
          <w:lang w:val="fr-FR"/>
        </w:rPr>
        <w:t xml:space="preserve"> de </w:t>
      </w:r>
      <w:proofErr w:type="spellStart"/>
      <w:r w:rsidRPr="00A66252">
        <w:rPr>
          <w:szCs w:val="24"/>
          <w:lang w:val="fr-FR"/>
        </w:rPr>
        <w:t>légalite</w:t>
      </w:r>
      <w:proofErr w:type="spellEnd"/>
      <w:r w:rsidRPr="00A66252">
        <w:rPr>
          <w:szCs w:val="24"/>
          <w:lang w:val="fr-FR"/>
        </w:rPr>
        <w:t>́, c</w:t>
      </w:r>
      <w:r w:rsidR="00A66252" w:rsidRPr="00A66252">
        <w:rPr>
          <w:szCs w:val="24"/>
          <w:lang w:val="fr-FR"/>
        </w:rPr>
        <w:t>’</w:t>
      </w:r>
      <w:r w:rsidRPr="00A66252">
        <w:rPr>
          <w:szCs w:val="24"/>
          <w:lang w:val="fr-FR"/>
        </w:rPr>
        <w:t xml:space="preserve">est-à-dire un </w:t>
      </w:r>
      <w:proofErr w:type="spellStart"/>
      <w:r w:rsidRPr="00A66252">
        <w:rPr>
          <w:szCs w:val="24"/>
          <w:lang w:val="fr-FR"/>
        </w:rPr>
        <w:t>contrôle</w:t>
      </w:r>
      <w:proofErr w:type="spellEnd"/>
      <w:r w:rsidRPr="00A66252">
        <w:rPr>
          <w:szCs w:val="24"/>
          <w:lang w:val="fr-FR"/>
        </w:rPr>
        <w:t xml:space="preserve"> ne lui permettant pas de se substituer à l</w:t>
      </w:r>
      <w:r w:rsidR="00A66252" w:rsidRPr="00A66252">
        <w:rPr>
          <w:szCs w:val="24"/>
          <w:lang w:val="fr-FR"/>
        </w:rPr>
        <w:t>’</w:t>
      </w:r>
      <w:proofErr w:type="spellStart"/>
      <w:r w:rsidRPr="00A66252">
        <w:rPr>
          <w:szCs w:val="24"/>
          <w:lang w:val="fr-FR"/>
        </w:rPr>
        <w:t>appréciation</w:t>
      </w:r>
      <w:proofErr w:type="spellEnd"/>
      <w:r w:rsidRPr="00A66252">
        <w:rPr>
          <w:szCs w:val="24"/>
          <w:lang w:val="fr-FR"/>
        </w:rPr>
        <w:t xml:space="preserve"> des faits tenus pour </w:t>
      </w:r>
      <w:proofErr w:type="spellStart"/>
      <w:r w:rsidRPr="00A66252">
        <w:rPr>
          <w:szCs w:val="24"/>
          <w:lang w:val="fr-FR"/>
        </w:rPr>
        <w:t>établis</w:t>
      </w:r>
      <w:proofErr w:type="spellEnd"/>
      <w:r w:rsidRPr="00A66252">
        <w:rPr>
          <w:szCs w:val="24"/>
          <w:lang w:val="fr-FR"/>
        </w:rPr>
        <w:t xml:space="preserve"> qui ne ressortent pas du dossier administratif, mais se limitant à </w:t>
      </w:r>
      <w:proofErr w:type="spellStart"/>
      <w:r w:rsidRPr="00A66252">
        <w:rPr>
          <w:szCs w:val="24"/>
          <w:lang w:val="fr-FR"/>
        </w:rPr>
        <w:t>vérifier</w:t>
      </w:r>
      <w:proofErr w:type="spellEnd"/>
      <w:r w:rsidRPr="00A66252">
        <w:rPr>
          <w:szCs w:val="24"/>
          <w:lang w:val="fr-FR"/>
        </w:rPr>
        <w:t xml:space="preserve"> si l</w:t>
      </w:r>
      <w:r w:rsidR="00A66252" w:rsidRPr="00A66252">
        <w:rPr>
          <w:szCs w:val="24"/>
          <w:lang w:val="fr-FR"/>
        </w:rPr>
        <w:t>’</w:t>
      </w:r>
      <w:r w:rsidRPr="00A66252">
        <w:rPr>
          <w:szCs w:val="24"/>
          <w:lang w:val="fr-FR"/>
        </w:rPr>
        <w:t xml:space="preserve">obligation de motivation formelle était </w:t>
      </w:r>
      <w:proofErr w:type="spellStart"/>
      <w:r w:rsidRPr="00A66252">
        <w:rPr>
          <w:szCs w:val="24"/>
          <w:lang w:val="fr-FR"/>
        </w:rPr>
        <w:t>respectée</w:t>
      </w:r>
      <w:proofErr w:type="spellEnd"/>
      <w:r w:rsidRPr="00A66252">
        <w:rPr>
          <w:szCs w:val="24"/>
          <w:lang w:val="fr-FR"/>
        </w:rPr>
        <w:t xml:space="preserve"> et si la motivation ne procédait pas d</w:t>
      </w:r>
      <w:r w:rsidR="00A66252" w:rsidRPr="00A66252">
        <w:rPr>
          <w:szCs w:val="24"/>
          <w:lang w:val="fr-FR"/>
        </w:rPr>
        <w:t>’</w:t>
      </w:r>
      <w:r w:rsidRPr="00A66252">
        <w:rPr>
          <w:szCs w:val="24"/>
          <w:lang w:val="fr-FR"/>
        </w:rPr>
        <w:t>une erreur manifeste d</w:t>
      </w:r>
      <w:r w:rsidR="00A66252" w:rsidRPr="00A66252">
        <w:rPr>
          <w:szCs w:val="24"/>
          <w:lang w:val="fr-FR"/>
        </w:rPr>
        <w:t>’</w:t>
      </w:r>
      <w:proofErr w:type="spellStart"/>
      <w:r w:rsidRPr="00A66252">
        <w:rPr>
          <w:szCs w:val="24"/>
          <w:lang w:val="fr-FR"/>
        </w:rPr>
        <w:t>appréciation</w:t>
      </w:r>
      <w:proofErr w:type="spellEnd"/>
      <w:r w:rsidRPr="00A66252">
        <w:rPr>
          <w:szCs w:val="24"/>
          <w:lang w:val="fr-FR"/>
        </w:rPr>
        <w:t>. S</w:t>
      </w:r>
      <w:r w:rsidR="00A66252" w:rsidRPr="00A66252">
        <w:rPr>
          <w:szCs w:val="24"/>
          <w:lang w:val="fr-FR"/>
        </w:rPr>
        <w:t>’</w:t>
      </w:r>
      <w:r w:rsidRPr="00A66252">
        <w:rPr>
          <w:szCs w:val="24"/>
          <w:lang w:val="fr-FR"/>
        </w:rPr>
        <w:t xml:space="preserve">agissant des griefs tirés de la violation des articles 2 et 3 de la </w:t>
      </w:r>
      <w:r w:rsidRPr="00A66252">
        <w:rPr>
          <w:szCs w:val="24"/>
          <w:lang w:val="fr-FR"/>
        </w:rPr>
        <w:lastRenderedPageBreak/>
        <w:t>Convention, le CCE affirma que l</w:t>
      </w:r>
      <w:r w:rsidR="00A66252" w:rsidRPr="00A66252">
        <w:rPr>
          <w:szCs w:val="24"/>
          <w:lang w:val="fr-FR"/>
        </w:rPr>
        <w:t>’</w:t>
      </w:r>
      <w:r w:rsidRPr="00A66252">
        <w:rPr>
          <w:szCs w:val="24"/>
          <w:lang w:val="fr-FR"/>
        </w:rPr>
        <w:t xml:space="preserve">évaluation de la situation </w:t>
      </w:r>
      <w:proofErr w:type="spellStart"/>
      <w:r w:rsidRPr="00A66252">
        <w:rPr>
          <w:szCs w:val="24"/>
          <w:lang w:val="fr-FR"/>
        </w:rPr>
        <w:t>médicale</w:t>
      </w:r>
      <w:proofErr w:type="spellEnd"/>
      <w:r w:rsidRPr="00A66252">
        <w:rPr>
          <w:szCs w:val="24"/>
          <w:lang w:val="fr-FR"/>
        </w:rPr>
        <w:t xml:space="preserve"> d</w:t>
      </w:r>
      <w:r w:rsidR="00A66252" w:rsidRPr="00A66252">
        <w:rPr>
          <w:szCs w:val="24"/>
          <w:lang w:val="fr-FR"/>
        </w:rPr>
        <w:t>’</w:t>
      </w:r>
      <w:r w:rsidRPr="00A66252">
        <w:rPr>
          <w:szCs w:val="24"/>
          <w:lang w:val="fr-FR"/>
        </w:rPr>
        <w:t xml:space="preserve">un </w:t>
      </w:r>
      <w:proofErr w:type="spellStart"/>
      <w:r w:rsidRPr="00A66252">
        <w:rPr>
          <w:szCs w:val="24"/>
          <w:lang w:val="fr-FR"/>
        </w:rPr>
        <w:t>étranger</w:t>
      </w:r>
      <w:proofErr w:type="spellEnd"/>
      <w:r w:rsidRPr="00A66252">
        <w:rPr>
          <w:szCs w:val="24"/>
          <w:lang w:val="fr-FR"/>
        </w:rPr>
        <w:t xml:space="preserve"> menacé d</w:t>
      </w:r>
      <w:r w:rsidR="00A66252" w:rsidRPr="00A66252">
        <w:rPr>
          <w:szCs w:val="24"/>
          <w:lang w:val="fr-FR"/>
        </w:rPr>
        <w:t>’</w:t>
      </w:r>
      <w:proofErr w:type="spellStart"/>
      <w:r w:rsidRPr="00A66252">
        <w:rPr>
          <w:szCs w:val="24"/>
          <w:lang w:val="fr-FR"/>
        </w:rPr>
        <w:t>éloignement</w:t>
      </w:r>
      <w:proofErr w:type="spellEnd"/>
      <w:r w:rsidRPr="00A66252">
        <w:rPr>
          <w:szCs w:val="24"/>
          <w:lang w:val="fr-FR"/>
        </w:rPr>
        <w:t xml:space="preserve">, dont la demande de régularisation de </w:t>
      </w:r>
      <w:proofErr w:type="spellStart"/>
      <w:r w:rsidRPr="00A66252">
        <w:rPr>
          <w:szCs w:val="24"/>
          <w:lang w:val="fr-FR"/>
        </w:rPr>
        <w:t>séjour</w:t>
      </w:r>
      <w:proofErr w:type="spellEnd"/>
      <w:r w:rsidRPr="00A66252">
        <w:rPr>
          <w:szCs w:val="24"/>
          <w:lang w:val="fr-FR"/>
        </w:rPr>
        <w:t xml:space="preserve"> a </w:t>
      </w:r>
      <w:proofErr w:type="spellStart"/>
      <w:r w:rsidRPr="00A66252">
        <w:rPr>
          <w:szCs w:val="24"/>
          <w:lang w:val="fr-FR"/>
        </w:rPr>
        <w:t>éte</w:t>
      </w:r>
      <w:proofErr w:type="spellEnd"/>
      <w:r w:rsidRPr="00A66252">
        <w:rPr>
          <w:szCs w:val="24"/>
          <w:lang w:val="fr-FR"/>
        </w:rPr>
        <w:t xml:space="preserve">́ </w:t>
      </w:r>
      <w:proofErr w:type="spellStart"/>
      <w:r w:rsidRPr="00A66252">
        <w:rPr>
          <w:szCs w:val="24"/>
          <w:lang w:val="fr-FR"/>
        </w:rPr>
        <w:t>rejetée</w:t>
      </w:r>
      <w:proofErr w:type="spellEnd"/>
      <w:r w:rsidRPr="00A66252">
        <w:rPr>
          <w:szCs w:val="24"/>
          <w:lang w:val="fr-FR"/>
        </w:rPr>
        <w:t xml:space="preserve">, doit, le cas </w:t>
      </w:r>
      <w:proofErr w:type="spellStart"/>
      <w:r w:rsidRPr="00A66252">
        <w:rPr>
          <w:szCs w:val="24"/>
          <w:lang w:val="fr-FR"/>
        </w:rPr>
        <w:t>échéant</w:t>
      </w:r>
      <w:proofErr w:type="spellEnd"/>
      <w:r w:rsidRPr="00A66252">
        <w:rPr>
          <w:szCs w:val="24"/>
          <w:lang w:val="fr-FR"/>
        </w:rPr>
        <w:t>, se faire au moment de l</w:t>
      </w:r>
      <w:r w:rsidR="00A66252" w:rsidRPr="00A66252">
        <w:rPr>
          <w:szCs w:val="24"/>
          <w:lang w:val="fr-FR"/>
        </w:rPr>
        <w:t>’</w:t>
      </w:r>
      <w:proofErr w:type="spellStart"/>
      <w:r w:rsidRPr="00A66252">
        <w:rPr>
          <w:szCs w:val="24"/>
          <w:lang w:val="fr-FR"/>
        </w:rPr>
        <w:t>exécution</w:t>
      </w:r>
      <w:proofErr w:type="spellEnd"/>
      <w:r w:rsidRPr="00A66252">
        <w:rPr>
          <w:szCs w:val="24"/>
          <w:lang w:val="fr-FR"/>
        </w:rPr>
        <w:t xml:space="preserve"> </w:t>
      </w:r>
      <w:proofErr w:type="spellStart"/>
      <w:r w:rsidRPr="00A66252">
        <w:rPr>
          <w:szCs w:val="24"/>
          <w:lang w:val="fr-FR"/>
        </w:rPr>
        <w:t>forcée</w:t>
      </w:r>
      <w:proofErr w:type="spellEnd"/>
      <w:r w:rsidRPr="00A66252">
        <w:rPr>
          <w:szCs w:val="24"/>
          <w:lang w:val="fr-FR"/>
        </w:rPr>
        <w:t xml:space="preserve"> de ladite mesure.</w:t>
      </w:r>
    </w:p>
    <w:p w:rsidR="00DE04D3" w:rsidRPr="00A66252" w:rsidRDefault="00DE04D3" w:rsidP="00A66252">
      <w:pPr>
        <w:pStyle w:val="ECHRPara"/>
        <w:ind w:firstLine="232"/>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63</w:t>
      </w:r>
      <w:r w:rsidRPr="00A66252">
        <w:rPr>
          <w:szCs w:val="24"/>
          <w:lang w:val="fr-FR"/>
        </w:rPr>
        <w:fldChar w:fldCharType="end"/>
      </w:r>
      <w:r w:rsidRPr="00A66252">
        <w:rPr>
          <w:szCs w:val="24"/>
          <w:lang w:val="fr-FR"/>
        </w:rPr>
        <w:t xml:space="preserve">.  Le </w:t>
      </w:r>
      <w:r w:rsidR="0038220F" w:rsidRPr="00A66252">
        <w:rPr>
          <w:lang w:val="fr-FR"/>
        </w:rPr>
        <w:t xml:space="preserve">22 juin 2015 le </w:t>
      </w:r>
      <w:r w:rsidRPr="00A66252">
        <w:rPr>
          <w:szCs w:val="24"/>
          <w:lang w:val="fr-FR"/>
        </w:rPr>
        <w:t>requérant introduisit un recours en cassation contre cet arrêt</w:t>
      </w:r>
      <w:r w:rsidR="00800622" w:rsidRPr="00A66252">
        <w:rPr>
          <w:szCs w:val="24"/>
          <w:lang w:val="fr-FR"/>
        </w:rPr>
        <w:t xml:space="preserve"> devant le Conseil d</w:t>
      </w:r>
      <w:r w:rsidR="00A66252" w:rsidRPr="00A66252">
        <w:rPr>
          <w:szCs w:val="24"/>
          <w:lang w:val="fr-FR"/>
        </w:rPr>
        <w:t>’</w:t>
      </w:r>
      <w:r w:rsidR="00800622" w:rsidRPr="00A66252">
        <w:rPr>
          <w:szCs w:val="24"/>
          <w:lang w:val="fr-FR"/>
        </w:rPr>
        <w:t>É</w:t>
      </w:r>
      <w:r w:rsidR="009A72F1" w:rsidRPr="00A66252">
        <w:rPr>
          <w:szCs w:val="24"/>
          <w:lang w:val="fr-FR"/>
        </w:rPr>
        <w:t>tat</w:t>
      </w:r>
      <w:r w:rsidRPr="00A66252">
        <w:rPr>
          <w:szCs w:val="24"/>
          <w:lang w:val="fr-FR"/>
        </w:rPr>
        <w:t>. Un des moyens en cassation était tiré des articles 2 et 3 de la Convention. Il soutenait</w:t>
      </w:r>
      <w:r w:rsidR="0038220F" w:rsidRPr="00A66252">
        <w:rPr>
          <w:szCs w:val="24"/>
          <w:lang w:val="fr-FR"/>
        </w:rPr>
        <w:t xml:space="preserve"> q</w:t>
      </w:r>
      <w:r w:rsidRPr="00A66252">
        <w:rPr>
          <w:szCs w:val="24"/>
          <w:lang w:val="fr-FR"/>
        </w:rPr>
        <w:t>ue le CCE ne pouvait ignorer qu</w:t>
      </w:r>
      <w:r w:rsidR="00A66252" w:rsidRPr="00A66252">
        <w:rPr>
          <w:szCs w:val="24"/>
          <w:lang w:val="fr-FR"/>
        </w:rPr>
        <w:t>’</w:t>
      </w:r>
      <w:r w:rsidRPr="00A66252">
        <w:rPr>
          <w:szCs w:val="24"/>
          <w:lang w:val="fr-FR"/>
        </w:rPr>
        <w:t>il avait fait l</w:t>
      </w:r>
      <w:r w:rsidR="00A66252" w:rsidRPr="00A66252">
        <w:rPr>
          <w:szCs w:val="24"/>
          <w:lang w:val="fr-FR"/>
        </w:rPr>
        <w:t>’</w:t>
      </w:r>
      <w:r w:rsidRPr="00A66252">
        <w:rPr>
          <w:szCs w:val="24"/>
          <w:lang w:val="fr-FR"/>
        </w:rPr>
        <w:t>objet de plusieurs ordres de quitter le territoire antérieurement à la décision de l</w:t>
      </w:r>
      <w:r w:rsidR="00A66252" w:rsidRPr="00A66252">
        <w:rPr>
          <w:szCs w:val="24"/>
          <w:lang w:val="fr-FR"/>
        </w:rPr>
        <w:t>’</w:t>
      </w:r>
      <w:r w:rsidRPr="00A66252">
        <w:rPr>
          <w:szCs w:val="24"/>
          <w:lang w:val="fr-FR"/>
        </w:rPr>
        <w:t>exclure du bénéfice de l</w:t>
      </w:r>
      <w:r w:rsidR="00A66252" w:rsidRPr="00A66252">
        <w:rPr>
          <w:szCs w:val="24"/>
          <w:lang w:val="fr-FR"/>
        </w:rPr>
        <w:t>’</w:t>
      </w:r>
      <w:r w:rsidRPr="00A66252">
        <w:rPr>
          <w:szCs w:val="24"/>
          <w:lang w:val="fr-FR"/>
        </w:rPr>
        <w:t>analyse de la demande d</w:t>
      </w:r>
      <w:r w:rsidR="00A66252" w:rsidRPr="00A66252">
        <w:rPr>
          <w:szCs w:val="24"/>
          <w:lang w:val="fr-FR"/>
        </w:rPr>
        <w:t>’</w:t>
      </w:r>
      <w:r w:rsidRPr="00A66252">
        <w:rPr>
          <w:szCs w:val="24"/>
          <w:lang w:val="fr-FR"/>
        </w:rPr>
        <w:t>autorisation de séjour et que son expulsion n</w:t>
      </w:r>
      <w:r w:rsidR="00A66252" w:rsidRPr="00A66252">
        <w:rPr>
          <w:szCs w:val="24"/>
          <w:lang w:val="fr-FR"/>
        </w:rPr>
        <w:t>’</w:t>
      </w:r>
      <w:r w:rsidRPr="00A66252">
        <w:rPr>
          <w:szCs w:val="24"/>
          <w:lang w:val="fr-FR"/>
        </w:rPr>
        <w:t>avait été suspendue que par une mesure provisoire de la Cour</w:t>
      </w:r>
      <w:r w:rsidR="0038220F" w:rsidRPr="00A66252">
        <w:rPr>
          <w:szCs w:val="24"/>
          <w:lang w:val="fr-FR"/>
        </w:rPr>
        <w:t xml:space="preserve"> (voir paragraphe</w:t>
      </w:r>
      <w:r w:rsidR="005C2983" w:rsidRPr="00A66252">
        <w:rPr>
          <w:szCs w:val="24"/>
          <w:lang w:val="fr-FR"/>
        </w:rPr>
        <w:t xml:space="preserve"> </w:t>
      </w:r>
      <w:r w:rsidR="005C2983" w:rsidRPr="00A66252">
        <w:rPr>
          <w:szCs w:val="24"/>
          <w:lang w:val="fr-FR"/>
        </w:rPr>
        <w:fldChar w:fldCharType="begin"/>
      </w:r>
      <w:r w:rsidR="005C2983" w:rsidRPr="00A66252">
        <w:rPr>
          <w:szCs w:val="24"/>
          <w:lang w:val="fr-FR"/>
        </w:rPr>
        <w:instrText xml:space="preserve"> REF R39 \h </w:instrText>
      </w:r>
      <w:r w:rsidR="0080142D" w:rsidRPr="00A66252">
        <w:rPr>
          <w:szCs w:val="24"/>
          <w:lang w:val="fr-FR"/>
        </w:rPr>
        <w:instrText xml:space="preserve"> \* MERGEFORMAT </w:instrText>
      </w:r>
      <w:r w:rsidR="005C2983" w:rsidRPr="00A66252">
        <w:rPr>
          <w:szCs w:val="24"/>
          <w:lang w:val="fr-FR"/>
        </w:rPr>
      </w:r>
      <w:r w:rsidR="005C2983" w:rsidRPr="00A66252">
        <w:rPr>
          <w:szCs w:val="24"/>
          <w:lang w:val="fr-FR"/>
        </w:rPr>
        <w:fldChar w:fldCharType="separate"/>
      </w:r>
      <w:r w:rsidR="00A66252" w:rsidRPr="00A66252">
        <w:rPr>
          <w:noProof/>
          <w:lang w:val="fr-FR"/>
        </w:rPr>
        <w:t>87</w:t>
      </w:r>
      <w:r w:rsidR="005C2983" w:rsidRPr="00A66252">
        <w:rPr>
          <w:szCs w:val="24"/>
          <w:lang w:val="fr-FR"/>
        </w:rPr>
        <w:fldChar w:fldCharType="end"/>
      </w:r>
      <w:r w:rsidR="0098741E" w:rsidRPr="00A66252">
        <w:rPr>
          <w:szCs w:val="24"/>
          <w:lang w:val="fr-FR"/>
        </w:rPr>
        <w:t>, ci-dessous)</w:t>
      </w:r>
      <w:r w:rsidRPr="00A66252">
        <w:rPr>
          <w:szCs w:val="24"/>
          <w:lang w:val="fr-FR"/>
        </w:rPr>
        <w:t xml:space="preserve">. </w:t>
      </w:r>
      <w:r w:rsidR="0038220F" w:rsidRPr="00A66252">
        <w:rPr>
          <w:szCs w:val="24"/>
          <w:lang w:val="fr-FR"/>
        </w:rPr>
        <w:t>En outre, le r</w:t>
      </w:r>
      <w:r w:rsidRPr="00A66252">
        <w:rPr>
          <w:szCs w:val="24"/>
          <w:lang w:val="fr-FR"/>
        </w:rPr>
        <w:t xml:space="preserve">equérant </w:t>
      </w:r>
      <w:r w:rsidR="0038220F" w:rsidRPr="00A66252">
        <w:rPr>
          <w:szCs w:val="24"/>
          <w:lang w:val="fr-FR"/>
        </w:rPr>
        <w:t xml:space="preserve">faisait valoir </w:t>
      </w:r>
      <w:r w:rsidRPr="00A66252">
        <w:rPr>
          <w:szCs w:val="24"/>
          <w:lang w:val="fr-FR"/>
        </w:rPr>
        <w:t>que le CCE avait violé les dispositions de la Convention en reportant à la date d</w:t>
      </w:r>
      <w:r w:rsidR="00A66252" w:rsidRPr="00A66252">
        <w:rPr>
          <w:szCs w:val="24"/>
          <w:lang w:val="fr-FR"/>
        </w:rPr>
        <w:t>’</w:t>
      </w:r>
      <w:r w:rsidRPr="00A66252">
        <w:rPr>
          <w:szCs w:val="24"/>
          <w:lang w:val="fr-FR"/>
        </w:rPr>
        <w:t>exécution forcée de la mesure d</w:t>
      </w:r>
      <w:r w:rsidR="00A66252" w:rsidRPr="00A66252">
        <w:rPr>
          <w:szCs w:val="24"/>
          <w:lang w:val="fr-FR"/>
        </w:rPr>
        <w:t>’</w:t>
      </w:r>
      <w:r w:rsidRPr="00A66252">
        <w:rPr>
          <w:szCs w:val="24"/>
          <w:lang w:val="fr-FR"/>
        </w:rPr>
        <w:t>éloignement l</w:t>
      </w:r>
      <w:r w:rsidR="00A66252" w:rsidRPr="00A66252">
        <w:rPr>
          <w:szCs w:val="24"/>
          <w:lang w:val="fr-FR"/>
        </w:rPr>
        <w:t>’</w:t>
      </w:r>
      <w:r w:rsidRPr="00A66252">
        <w:rPr>
          <w:szCs w:val="24"/>
          <w:lang w:val="fr-FR"/>
        </w:rPr>
        <w:t>examen de la situation médicale d</w:t>
      </w:r>
      <w:r w:rsidR="00A66252" w:rsidRPr="00A66252">
        <w:rPr>
          <w:szCs w:val="24"/>
          <w:lang w:val="fr-FR"/>
        </w:rPr>
        <w:t>’</w:t>
      </w:r>
      <w:r w:rsidRPr="00A66252">
        <w:rPr>
          <w:szCs w:val="24"/>
          <w:lang w:val="fr-FR"/>
        </w:rPr>
        <w:t>un étranger gravement malade demandeur d</w:t>
      </w:r>
      <w:r w:rsidR="00A66252" w:rsidRPr="00A66252">
        <w:rPr>
          <w:szCs w:val="24"/>
          <w:lang w:val="fr-FR"/>
        </w:rPr>
        <w:t>’</w:t>
      </w:r>
      <w:r w:rsidRPr="00A66252">
        <w:rPr>
          <w:szCs w:val="24"/>
          <w:lang w:val="fr-FR"/>
        </w:rPr>
        <w:t>une autorisation de séjour médical, sans analyser concrètement le risque.</w:t>
      </w:r>
    </w:p>
    <w:bookmarkStart w:id="15" w:name="CE9TER2"/>
    <w:p w:rsidR="001B27E3" w:rsidRPr="00A66252" w:rsidRDefault="00C63AA5" w:rsidP="00A66252">
      <w:pPr>
        <w:pStyle w:val="ECHRPara"/>
        <w:ind w:firstLine="232"/>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64</w:t>
      </w:r>
      <w:r w:rsidRPr="00A66252">
        <w:rPr>
          <w:szCs w:val="24"/>
          <w:lang w:val="fr-FR"/>
        </w:rPr>
        <w:fldChar w:fldCharType="end"/>
      </w:r>
      <w:bookmarkEnd w:id="15"/>
      <w:r w:rsidRPr="00A66252">
        <w:rPr>
          <w:szCs w:val="24"/>
          <w:lang w:val="fr-FR"/>
        </w:rPr>
        <w:t>.  Par o</w:t>
      </w:r>
      <w:r w:rsidRPr="00A66252">
        <w:rPr>
          <w:lang w:val="fr-FR"/>
        </w:rPr>
        <w:t>rdonnance du 9 juillet 2015, le recours en cassation</w:t>
      </w:r>
      <w:r w:rsidR="0038220F" w:rsidRPr="00A66252">
        <w:rPr>
          <w:lang w:val="fr-FR"/>
        </w:rPr>
        <w:t xml:space="preserve"> fut déclaré inadmissible</w:t>
      </w:r>
      <w:r w:rsidRPr="00A66252">
        <w:rPr>
          <w:lang w:val="fr-FR"/>
        </w:rPr>
        <w:t xml:space="preserve">. </w:t>
      </w:r>
      <w:r w:rsidRPr="00A66252">
        <w:rPr>
          <w:szCs w:val="24"/>
          <w:lang w:val="fr-FR"/>
        </w:rPr>
        <w:t>Le Conseil d</w:t>
      </w:r>
      <w:r w:rsidR="00A66252" w:rsidRPr="00A66252">
        <w:rPr>
          <w:szCs w:val="24"/>
          <w:lang w:val="fr-FR"/>
        </w:rPr>
        <w:t>’</w:t>
      </w:r>
      <w:r w:rsidR="00800622" w:rsidRPr="00A66252">
        <w:rPr>
          <w:szCs w:val="24"/>
          <w:lang w:val="fr-FR"/>
        </w:rPr>
        <w:t>É</w:t>
      </w:r>
      <w:r w:rsidRPr="00A66252">
        <w:rPr>
          <w:szCs w:val="24"/>
          <w:lang w:val="fr-FR"/>
        </w:rPr>
        <w:t xml:space="preserve">tat </w:t>
      </w:r>
      <w:r w:rsidR="00DE04D3" w:rsidRPr="00A66252">
        <w:rPr>
          <w:szCs w:val="24"/>
          <w:lang w:val="fr-FR"/>
        </w:rPr>
        <w:t>jugea</w:t>
      </w:r>
      <w:r w:rsidRPr="00A66252">
        <w:rPr>
          <w:szCs w:val="24"/>
          <w:lang w:val="fr-FR"/>
        </w:rPr>
        <w:t xml:space="preserve"> que, contrairement à ce que soutenait le requérant, le moyen d</w:t>
      </w:r>
      <w:r w:rsidR="00A66252" w:rsidRPr="00A66252">
        <w:rPr>
          <w:szCs w:val="24"/>
          <w:lang w:val="fr-FR"/>
        </w:rPr>
        <w:t>’</w:t>
      </w:r>
      <w:r w:rsidRPr="00A66252">
        <w:rPr>
          <w:szCs w:val="24"/>
          <w:lang w:val="fr-FR"/>
        </w:rPr>
        <w:t>annulation porté devant le CCE se bornait à souligner, sur un plan théorique et général que l</w:t>
      </w:r>
      <w:r w:rsidR="00A66252" w:rsidRPr="00A66252">
        <w:rPr>
          <w:szCs w:val="24"/>
          <w:lang w:val="fr-FR"/>
        </w:rPr>
        <w:t>’</w:t>
      </w:r>
      <w:r w:rsidRPr="00A66252">
        <w:rPr>
          <w:szCs w:val="24"/>
          <w:lang w:val="fr-FR"/>
        </w:rPr>
        <w:t>article 9</w:t>
      </w:r>
      <w:r w:rsidRPr="00A66252">
        <w:rPr>
          <w:i/>
          <w:szCs w:val="24"/>
          <w:lang w:val="fr-FR"/>
        </w:rPr>
        <w:t>ter</w:t>
      </w:r>
      <w:r w:rsidRPr="00A66252">
        <w:rPr>
          <w:szCs w:val="24"/>
          <w:lang w:val="fr-FR"/>
        </w:rPr>
        <w:t xml:space="preserve"> </w:t>
      </w:r>
      <w:r w:rsidR="0038220F" w:rsidRPr="00A66252">
        <w:rPr>
          <w:szCs w:val="24"/>
          <w:lang w:val="fr-FR"/>
        </w:rPr>
        <w:t xml:space="preserve">de la loi </w:t>
      </w:r>
      <w:r w:rsidRPr="00A66252">
        <w:rPr>
          <w:szCs w:val="24"/>
          <w:lang w:val="fr-FR"/>
        </w:rPr>
        <w:t>englobait l</w:t>
      </w:r>
      <w:r w:rsidR="00A66252" w:rsidRPr="00A66252">
        <w:rPr>
          <w:szCs w:val="24"/>
          <w:lang w:val="fr-FR"/>
        </w:rPr>
        <w:t>’</w:t>
      </w:r>
      <w:r w:rsidRPr="00A66252">
        <w:rPr>
          <w:szCs w:val="24"/>
          <w:lang w:val="fr-FR"/>
        </w:rPr>
        <w:t>application en droit interne de l</w:t>
      </w:r>
      <w:r w:rsidR="00A66252" w:rsidRPr="00A66252">
        <w:rPr>
          <w:szCs w:val="24"/>
          <w:lang w:val="fr-FR"/>
        </w:rPr>
        <w:t>’</w:t>
      </w:r>
      <w:r w:rsidRPr="00A66252">
        <w:rPr>
          <w:szCs w:val="24"/>
          <w:lang w:val="fr-FR"/>
        </w:rPr>
        <w:t>obligation résultant des articles 2 et 3 de la Convention interdisant toute mesure d</w:t>
      </w:r>
      <w:r w:rsidR="00A66252" w:rsidRPr="00A66252">
        <w:rPr>
          <w:szCs w:val="24"/>
          <w:lang w:val="fr-FR"/>
        </w:rPr>
        <w:t>’</w:t>
      </w:r>
      <w:r w:rsidRPr="00A66252">
        <w:rPr>
          <w:szCs w:val="24"/>
          <w:lang w:val="fr-FR"/>
        </w:rPr>
        <w:t>éloignement d</w:t>
      </w:r>
      <w:r w:rsidR="00A66252" w:rsidRPr="00A66252">
        <w:rPr>
          <w:szCs w:val="24"/>
          <w:lang w:val="fr-FR"/>
        </w:rPr>
        <w:t>’</w:t>
      </w:r>
      <w:r w:rsidRPr="00A66252">
        <w:rPr>
          <w:szCs w:val="24"/>
          <w:lang w:val="fr-FR"/>
        </w:rPr>
        <w:t>une personne gravement malade si cette mesure risquait d</w:t>
      </w:r>
      <w:r w:rsidR="00A66252" w:rsidRPr="00A66252">
        <w:rPr>
          <w:szCs w:val="24"/>
          <w:lang w:val="fr-FR"/>
        </w:rPr>
        <w:t>’</w:t>
      </w:r>
      <w:r w:rsidRPr="00A66252">
        <w:rPr>
          <w:szCs w:val="24"/>
          <w:lang w:val="fr-FR"/>
        </w:rPr>
        <w:t>entraîner la mort ou un traitement inhumain et dégradant</w:t>
      </w:r>
      <w:r w:rsidR="005F6576" w:rsidRPr="00A66252">
        <w:rPr>
          <w:szCs w:val="24"/>
          <w:lang w:val="fr-FR"/>
        </w:rPr>
        <w:t>, sans pour autant exposer concrètement en quoi le requérant risquait lui-même de se trouver dans cette situation</w:t>
      </w:r>
      <w:r w:rsidRPr="00A66252">
        <w:rPr>
          <w:szCs w:val="24"/>
          <w:lang w:val="fr-FR"/>
        </w:rPr>
        <w:t>. En outre, le</w:t>
      </w:r>
      <w:r w:rsidR="00B22A69" w:rsidRPr="00A66252">
        <w:rPr>
          <w:szCs w:val="24"/>
          <w:lang w:val="fr-FR"/>
        </w:rPr>
        <w:t xml:space="preserve"> Conseil d</w:t>
      </w:r>
      <w:r w:rsidR="00A66252" w:rsidRPr="00A66252">
        <w:rPr>
          <w:szCs w:val="24"/>
          <w:lang w:val="fr-FR"/>
        </w:rPr>
        <w:t>’</w:t>
      </w:r>
      <w:r w:rsidR="00B22A69" w:rsidRPr="00A66252">
        <w:rPr>
          <w:szCs w:val="24"/>
          <w:lang w:val="fr-FR"/>
        </w:rPr>
        <w:t xml:space="preserve">État </w:t>
      </w:r>
      <w:r w:rsidR="008250BE" w:rsidRPr="00A66252">
        <w:rPr>
          <w:szCs w:val="24"/>
          <w:lang w:val="fr-FR"/>
        </w:rPr>
        <w:t>constata</w:t>
      </w:r>
      <w:r w:rsidR="00B22A69" w:rsidRPr="00A66252">
        <w:rPr>
          <w:szCs w:val="24"/>
          <w:lang w:val="fr-FR"/>
        </w:rPr>
        <w:t xml:space="preserve"> que le </w:t>
      </w:r>
      <w:r w:rsidRPr="00A66252">
        <w:rPr>
          <w:szCs w:val="24"/>
          <w:lang w:val="fr-FR"/>
        </w:rPr>
        <w:t xml:space="preserve">requérant </w:t>
      </w:r>
      <w:r w:rsidR="008250BE" w:rsidRPr="00A66252">
        <w:rPr>
          <w:szCs w:val="24"/>
          <w:lang w:val="fr-FR"/>
        </w:rPr>
        <w:t>n</w:t>
      </w:r>
      <w:r w:rsidR="00A66252" w:rsidRPr="00A66252">
        <w:rPr>
          <w:szCs w:val="24"/>
          <w:lang w:val="fr-FR"/>
        </w:rPr>
        <w:t>’</w:t>
      </w:r>
      <w:r w:rsidRPr="00A66252">
        <w:rPr>
          <w:szCs w:val="24"/>
          <w:lang w:val="fr-FR"/>
        </w:rPr>
        <w:t>avait</w:t>
      </w:r>
      <w:r w:rsidR="008250BE" w:rsidRPr="00A66252">
        <w:rPr>
          <w:szCs w:val="24"/>
          <w:lang w:val="fr-FR"/>
        </w:rPr>
        <w:t xml:space="preserve"> pas invoqué devant le CCE l</w:t>
      </w:r>
      <w:r w:rsidR="00A66252" w:rsidRPr="00A66252">
        <w:rPr>
          <w:szCs w:val="24"/>
          <w:lang w:val="fr-FR"/>
        </w:rPr>
        <w:t>’</w:t>
      </w:r>
      <w:r w:rsidR="008250BE" w:rsidRPr="00A66252">
        <w:rPr>
          <w:szCs w:val="24"/>
          <w:lang w:val="fr-FR"/>
        </w:rPr>
        <w:t xml:space="preserve">argument selon lequel il </w:t>
      </w:r>
      <w:r w:rsidRPr="00A66252">
        <w:rPr>
          <w:szCs w:val="24"/>
          <w:lang w:val="fr-FR"/>
        </w:rPr>
        <w:t>avait fait l</w:t>
      </w:r>
      <w:r w:rsidR="00A66252" w:rsidRPr="00A66252">
        <w:rPr>
          <w:szCs w:val="24"/>
          <w:lang w:val="fr-FR"/>
        </w:rPr>
        <w:t>’</w:t>
      </w:r>
      <w:r w:rsidRPr="00A66252">
        <w:rPr>
          <w:szCs w:val="24"/>
          <w:lang w:val="fr-FR"/>
        </w:rPr>
        <w:t>objet d</w:t>
      </w:r>
      <w:r w:rsidR="00A66252" w:rsidRPr="00A66252">
        <w:rPr>
          <w:szCs w:val="24"/>
          <w:lang w:val="fr-FR"/>
        </w:rPr>
        <w:t>’</w:t>
      </w:r>
      <w:r w:rsidRPr="00A66252">
        <w:rPr>
          <w:szCs w:val="24"/>
          <w:lang w:val="fr-FR"/>
        </w:rPr>
        <w:t>ordres de quitter le territoire et qu</w:t>
      </w:r>
      <w:r w:rsidR="00A66252" w:rsidRPr="00A66252">
        <w:rPr>
          <w:szCs w:val="24"/>
          <w:lang w:val="fr-FR"/>
        </w:rPr>
        <w:t>’</w:t>
      </w:r>
      <w:r w:rsidRPr="00A66252">
        <w:rPr>
          <w:szCs w:val="24"/>
          <w:lang w:val="fr-FR"/>
        </w:rPr>
        <w:t>une mesure d</w:t>
      </w:r>
      <w:r w:rsidR="00A66252" w:rsidRPr="00A66252">
        <w:rPr>
          <w:szCs w:val="24"/>
          <w:lang w:val="fr-FR"/>
        </w:rPr>
        <w:t>’</w:t>
      </w:r>
      <w:r w:rsidRPr="00A66252">
        <w:rPr>
          <w:szCs w:val="24"/>
          <w:lang w:val="fr-FR"/>
        </w:rPr>
        <w:t>expulsion pouvait être réactivée</w:t>
      </w:r>
      <w:r w:rsidR="008250BE" w:rsidRPr="00A66252">
        <w:rPr>
          <w:szCs w:val="24"/>
          <w:lang w:val="fr-FR"/>
        </w:rPr>
        <w:t>, de sorte qu</w:t>
      </w:r>
      <w:r w:rsidR="00A66252" w:rsidRPr="00A66252">
        <w:rPr>
          <w:szCs w:val="24"/>
          <w:lang w:val="fr-FR"/>
        </w:rPr>
        <w:t>’</w:t>
      </w:r>
      <w:r w:rsidR="008250BE" w:rsidRPr="00A66252">
        <w:rPr>
          <w:szCs w:val="24"/>
          <w:lang w:val="fr-FR"/>
        </w:rPr>
        <w:t>il ne pouvait pas fonder son argumentation en cassation sur ces éléments</w:t>
      </w:r>
      <w:r w:rsidRPr="00A66252">
        <w:rPr>
          <w:szCs w:val="24"/>
          <w:lang w:val="fr-FR"/>
        </w:rPr>
        <w:t xml:space="preserve">. </w:t>
      </w:r>
      <w:r w:rsidR="008250BE" w:rsidRPr="00A66252">
        <w:rPr>
          <w:szCs w:val="24"/>
          <w:lang w:val="fr-FR"/>
        </w:rPr>
        <w:t>En tout état de cause</w:t>
      </w:r>
      <w:r w:rsidR="00800622" w:rsidRPr="00A66252">
        <w:rPr>
          <w:szCs w:val="24"/>
          <w:lang w:val="fr-FR"/>
        </w:rPr>
        <w:t>, de l</w:t>
      </w:r>
      <w:r w:rsidR="00A66252" w:rsidRPr="00A66252">
        <w:rPr>
          <w:szCs w:val="24"/>
          <w:lang w:val="fr-FR"/>
        </w:rPr>
        <w:t>’</w:t>
      </w:r>
      <w:r w:rsidR="00800622" w:rsidRPr="00A66252">
        <w:rPr>
          <w:szCs w:val="24"/>
          <w:lang w:val="fr-FR"/>
        </w:rPr>
        <w:t>avis du Conseil d</w:t>
      </w:r>
      <w:r w:rsidR="00A66252" w:rsidRPr="00A66252">
        <w:rPr>
          <w:szCs w:val="24"/>
          <w:lang w:val="fr-FR"/>
        </w:rPr>
        <w:t>’</w:t>
      </w:r>
      <w:r w:rsidR="00800622" w:rsidRPr="00A66252">
        <w:rPr>
          <w:szCs w:val="24"/>
          <w:lang w:val="fr-FR"/>
        </w:rPr>
        <w:t>É</w:t>
      </w:r>
      <w:r w:rsidRPr="00A66252">
        <w:rPr>
          <w:szCs w:val="24"/>
          <w:lang w:val="fr-FR"/>
        </w:rPr>
        <w:t>tat, le CCE n</w:t>
      </w:r>
      <w:r w:rsidR="00A66252" w:rsidRPr="00A66252">
        <w:rPr>
          <w:szCs w:val="24"/>
          <w:lang w:val="fr-FR"/>
        </w:rPr>
        <w:t>’</w:t>
      </w:r>
      <w:r w:rsidRPr="00A66252">
        <w:rPr>
          <w:szCs w:val="24"/>
          <w:lang w:val="fr-FR"/>
        </w:rPr>
        <w:t>a</w:t>
      </w:r>
      <w:r w:rsidR="00DE04D3" w:rsidRPr="00A66252">
        <w:rPr>
          <w:szCs w:val="24"/>
          <w:lang w:val="fr-FR"/>
        </w:rPr>
        <w:t>vait</w:t>
      </w:r>
      <w:r w:rsidRPr="00A66252">
        <w:rPr>
          <w:szCs w:val="24"/>
          <w:lang w:val="fr-FR"/>
        </w:rPr>
        <w:t xml:space="preserve"> fait aucun constat erroné en relevant que l</w:t>
      </w:r>
      <w:r w:rsidR="00A66252" w:rsidRPr="00A66252">
        <w:rPr>
          <w:szCs w:val="24"/>
          <w:lang w:val="fr-FR"/>
        </w:rPr>
        <w:t>’</w:t>
      </w:r>
      <w:r w:rsidRPr="00A66252">
        <w:rPr>
          <w:szCs w:val="24"/>
          <w:lang w:val="fr-FR"/>
        </w:rPr>
        <w:t>examen de la situation médicale d</w:t>
      </w:r>
      <w:r w:rsidR="00A66252" w:rsidRPr="00A66252">
        <w:rPr>
          <w:szCs w:val="24"/>
          <w:lang w:val="fr-FR"/>
        </w:rPr>
        <w:t>’</w:t>
      </w:r>
      <w:r w:rsidRPr="00A66252">
        <w:rPr>
          <w:szCs w:val="24"/>
          <w:lang w:val="fr-FR"/>
        </w:rPr>
        <w:t>un étranger faisant l</w:t>
      </w:r>
      <w:r w:rsidR="00A66252" w:rsidRPr="00A66252">
        <w:rPr>
          <w:szCs w:val="24"/>
          <w:lang w:val="fr-FR"/>
        </w:rPr>
        <w:t>’</w:t>
      </w:r>
      <w:r w:rsidRPr="00A66252">
        <w:rPr>
          <w:szCs w:val="24"/>
          <w:lang w:val="fr-FR"/>
        </w:rPr>
        <w:t>objet d</w:t>
      </w:r>
      <w:r w:rsidR="00A66252" w:rsidRPr="00A66252">
        <w:rPr>
          <w:szCs w:val="24"/>
          <w:lang w:val="fr-FR"/>
        </w:rPr>
        <w:t>’</w:t>
      </w:r>
      <w:r w:rsidRPr="00A66252">
        <w:rPr>
          <w:szCs w:val="24"/>
          <w:lang w:val="fr-FR"/>
        </w:rPr>
        <w:t>une mesure d</w:t>
      </w:r>
      <w:r w:rsidR="00A66252" w:rsidRPr="00A66252">
        <w:rPr>
          <w:szCs w:val="24"/>
          <w:lang w:val="fr-FR"/>
        </w:rPr>
        <w:t>’</w:t>
      </w:r>
      <w:r w:rsidRPr="00A66252">
        <w:rPr>
          <w:szCs w:val="24"/>
          <w:lang w:val="fr-FR"/>
        </w:rPr>
        <w:t>éloignement et dont la demande d</w:t>
      </w:r>
      <w:r w:rsidR="00A66252" w:rsidRPr="00A66252">
        <w:rPr>
          <w:szCs w:val="24"/>
          <w:lang w:val="fr-FR"/>
        </w:rPr>
        <w:t>’</w:t>
      </w:r>
      <w:r w:rsidRPr="00A66252">
        <w:rPr>
          <w:szCs w:val="24"/>
          <w:lang w:val="fr-FR"/>
        </w:rPr>
        <w:t>autorisation de séjour a</w:t>
      </w:r>
      <w:r w:rsidR="008250BE" w:rsidRPr="00A66252">
        <w:rPr>
          <w:szCs w:val="24"/>
          <w:lang w:val="fr-FR"/>
        </w:rPr>
        <w:t>vait</w:t>
      </w:r>
      <w:r w:rsidRPr="00A66252">
        <w:rPr>
          <w:szCs w:val="24"/>
          <w:lang w:val="fr-FR"/>
        </w:rPr>
        <w:t xml:space="preserve"> été rejetée, devra</w:t>
      </w:r>
      <w:r w:rsidR="008250BE" w:rsidRPr="00A66252">
        <w:rPr>
          <w:szCs w:val="24"/>
          <w:lang w:val="fr-FR"/>
        </w:rPr>
        <w:t>it</w:t>
      </w:r>
      <w:r w:rsidRPr="00A66252">
        <w:rPr>
          <w:szCs w:val="24"/>
          <w:lang w:val="fr-FR"/>
        </w:rPr>
        <w:t xml:space="preserve"> se faire</w:t>
      </w:r>
      <w:r w:rsidR="008250BE" w:rsidRPr="00A66252">
        <w:rPr>
          <w:szCs w:val="24"/>
          <w:lang w:val="fr-FR"/>
        </w:rPr>
        <w:t>, le cas échéant,</w:t>
      </w:r>
      <w:r w:rsidRPr="00A66252">
        <w:rPr>
          <w:szCs w:val="24"/>
          <w:lang w:val="fr-FR"/>
        </w:rPr>
        <w:t xml:space="preserve"> au moment de l</w:t>
      </w:r>
      <w:r w:rsidR="00A66252" w:rsidRPr="00A66252">
        <w:rPr>
          <w:szCs w:val="24"/>
          <w:lang w:val="fr-FR"/>
        </w:rPr>
        <w:t>’</w:t>
      </w:r>
      <w:r w:rsidRPr="00A66252">
        <w:rPr>
          <w:szCs w:val="24"/>
          <w:lang w:val="fr-FR"/>
        </w:rPr>
        <w:t>exécution forcée.</w:t>
      </w:r>
    </w:p>
    <w:p w:rsidR="008941EC" w:rsidRPr="00A66252" w:rsidRDefault="00CD2EF5" w:rsidP="00A66252">
      <w:pPr>
        <w:pStyle w:val="ECHRHeading3"/>
        <w:rPr>
          <w:lang w:val="fr-FR"/>
        </w:rPr>
      </w:pPr>
      <w:r w:rsidRPr="00A66252">
        <w:rPr>
          <w:lang w:val="fr-FR"/>
        </w:rPr>
        <w:t>3</w:t>
      </w:r>
      <w:r w:rsidR="00276F84" w:rsidRPr="00A66252">
        <w:rPr>
          <w:lang w:val="fr-FR"/>
        </w:rPr>
        <w:t>.  </w:t>
      </w:r>
      <w:r w:rsidR="008941EC" w:rsidRPr="00A66252">
        <w:rPr>
          <w:lang w:val="fr-FR"/>
        </w:rPr>
        <w:t>Réévaluation de la situation du requérant dans le cadre de la procédure devant la Cour</w:t>
      </w:r>
    </w:p>
    <w:p w:rsidR="008941EC" w:rsidRPr="00A66252" w:rsidRDefault="008941E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65</w:t>
      </w:r>
      <w:r w:rsidRPr="00A66252">
        <w:rPr>
          <w:lang w:val="fr-FR"/>
        </w:rPr>
        <w:fldChar w:fldCharType="end"/>
      </w:r>
      <w:r w:rsidRPr="00A66252">
        <w:rPr>
          <w:lang w:val="fr-FR"/>
        </w:rPr>
        <w:t>.  Le requérant fut convoqué pour se rendre auprès du service médical de l</w:t>
      </w:r>
      <w:r w:rsidR="00A66252" w:rsidRPr="00A66252">
        <w:rPr>
          <w:lang w:val="fr-FR"/>
        </w:rPr>
        <w:t>’</w:t>
      </w:r>
      <w:r w:rsidRPr="00A66252">
        <w:rPr>
          <w:lang w:val="fr-FR"/>
        </w:rPr>
        <w:t>OE le 24 septembre 2012, afin de faire effectuer un bilan de son état de santé et de perm</w:t>
      </w:r>
      <w:r w:rsidR="001124A8" w:rsidRPr="00A66252">
        <w:rPr>
          <w:lang w:val="fr-FR"/>
        </w:rPr>
        <w:t xml:space="preserve">ettre aux autorités belges de </w:t>
      </w:r>
      <w:r w:rsidRPr="00A66252">
        <w:rPr>
          <w:lang w:val="fr-FR"/>
        </w:rPr>
        <w:t>répondre au</w:t>
      </w:r>
      <w:r w:rsidR="001124A8" w:rsidRPr="00A66252">
        <w:rPr>
          <w:lang w:val="fr-FR"/>
        </w:rPr>
        <w:t>x questions posées par la Cour</w:t>
      </w:r>
      <w:r w:rsidRPr="00A66252">
        <w:rPr>
          <w:lang w:val="fr-FR"/>
        </w:rPr>
        <w:t>.</w:t>
      </w:r>
    </w:p>
    <w:p w:rsidR="008941EC" w:rsidRPr="00A66252" w:rsidRDefault="008941E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66</w:t>
      </w:r>
      <w:r w:rsidRPr="00A66252">
        <w:rPr>
          <w:lang w:val="fr-FR"/>
        </w:rPr>
        <w:fldChar w:fldCharType="end"/>
      </w:r>
      <w:r w:rsidRPr="00A66252">
        <w:rPr>
          <w:lang w:val="fr-FR"/>
        </w:rPr>
        <w:t>.  Le rapport dressé par le médecin conseil à cette occasion énumérait les consultation</w:t>
      </w:r>
      <w:r w:rsidR="001124A8" w:rsidRPr="00A66252">
        <w:rPr>
          <w:lang w:val="fr-FR"/>
        </w:rPr>
        <w:t>s effectuées et les traitements dont avait bénéficié le requérant</w:t>
      </w:r>
      <w:r w:rsidRPr="00A66252">
        <w:rPr>
          <w:lang w:val="fr-FR"/>
        </w:rPr>
        <w:t>. Il indiquait que la leucémie s</w:t>
      </w:r>
      <w:r w:rsidR="00A66252" w:rsidRPr="00A66252">
        <w:rPr>
          <w:lang w:val="fr-FR"/>
        </w:rPr>
        <w:t>’</w:t>
      </w:r>
      <w:r w:rsidRPr="00A66252">
        <w:rPr>
          <w:lang w:val="fr-FR"/>
        </w:rPr>
        <w:t xml:space="preserve">était stabilisée après plusieurs cures </w:t>
      </w:r>
      <w:r w:rsidRPr="00A66252">
        <w:rPr>
          <w:lang w:val="fr-FR"/>
        </w:rPr>
        <w:lastRenderedPageBreak/>
        <w:t>de chimiothérapie et était en surveillance étroite</w:t>
      </w:r>
      <w:r w:rsidR="001124A8" w:rsidRPr="00A66252">
        <w:rPr>
          <w:lang w:val="fr-FR"/>
        </w:rPr>
        <w:t xml:space="preserve"> et</w:t>
      </w:r>
      <w:r w:rsidRPr="00A66252">
        <w:rPr>
          <w:lang w:val="fr-FR"/>
        </w:rPr>
        <w:t xml:space="preserve"> que la pathologie pulmonaire faisait l</w:t>
      </w:r>
      <w:r w:rsidR="00A66252" w:rsidRPr="00A66252">
        <w:rPr>
          <w:lang w:val="fr-FR"/>
        </w:rPr>
        <w:t>’</w:t>
      </w:r>
      <w:r w:rsidRPr="00A66252">
        <w:rPr>
          <w:lang w:val="fr-FR"/>
        </w:rPr>
        <w:t>objet d</w:t>
      </w:r>
      <w:r w:rsidR="00A66252" w:rsidRPr="00A66252">
        <w:rPr>
          <w:lang w:val="fr-FR"/>
        </w:rPr>
        <w:t>’</w:t>
      </w:r>
      <w:r w:rsidRPr="00A66252">
        <w:rPr>
          <w:lang w:val="fr-FR"/>
        </w:rPr>
        <w:t>un suivi médical.</w:t>
      </w:r>
    </w:p>
    <w:bookmarkStart w:id="16" w:name="OERAPMED0912"/>
    <w:bookmarkStart w:id="17" w:name="OERAPMED0912bis"/>
    <w:p w:rsidR="008941EC" w:rsidRPr="00A66252" w:rsidRDefault="008941EC" w:rsidP="00A66252">
      <w:pPr>
        <w:pStyle w:val="ECHRPara"/>
        <w:rPr>
          <w:i/>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67</w:t>
      </w:r>
      <w:r w:rsidRPr="00A66252">
        <w:rPr>
          <w:lang w:val="fr-FR"/>
        </w:rPr>
        <w:fldChar w:fldCharType="end"/>
      </w:r>
      <w:bookmarkEnd w:id="16"/>
      <w:bookmarkEnd w:id="17"/>
      <w:r w:rsidRPr="00A66252">
        <w:rPr>
          <w:lang w:val="fr-FR"/>
        </w:rPr>
        <w:t>.  Se référant à l</w:t>
      </w:r>
      <w:r w:rsidR="00A66252" w:rsidRPr="00A66252">
        <w:rPr>
          <w:lang w:val="fr-FR"/>
        </w:rPr>
        <w:t>’</w:t>
      </w:r>
      <w:r w:rsidRPr="00A66252">
        <w:rPr>
          <w:lang w:val="fr-FR"/>
        </w:rPr>
        <w:t>arrêt rendu par la Cour dans l</w:t>
      </w:r>
      <w:r w:rsidR="00A66252" w:rsidRPr="00A66252">
        <w:rPr>
          <w:lang w:val="fr-FR"/>
        </w:rPr>
        <w:t>’</w:t>
      </w:r>
      <w:r w:rsidRPr="00A66252">
        <w:rPr>
          <w:lang w:val="fr-FR"/>
        </w:rPr>
        <w:t xml:space="preserve">affaire </w:t>
      </w:r>
      <w:r w:rsidR="005145C4" w:rsidRPr="00A66252">
        <w:rPr>
          <w:i/>
          <w:lang w:val="fr-FR"/>
        </w:rPr>
        <w:t>N. </w:t>
      </w:r>
      <w:r w:rsidR="003524BE" w:rsidRPr="00A66252">
        <w:rPr>
          <w:i/>
          <w:lang w:val="fr-FR"/>
        </w:rPr>
        <w:t>c.</w:t>
      </w:r>
      <w:r w:rsidR="003524BE" w:rsidRPr="00A66252">
        <w:rPr>
          <w:lang w:val="fr-FR"/>
        </w:rPr>
        <w:t> </w:t>
      </w:r>
      <w:r w:rsidR="003524BE" w:rsidRPr="00A66252">
        <w:rPr>
          <w:i/>
          <w:lang w:val="fr-FR"/>
        </w:rPr>
        <w:t>Royaume</w:t>
      </w:r>
      <w:r w:rsidR="003524BE" w:rsidRPr="00A66252">
        <w:rPr>
          <w:i/>
          <w:lang w:val="fr-FR"/>
        </w:rPr>
        <w:noBreakHyphen/>
      </w:r>
      <w:r w:rsidRPr="00A66252">
        <w:rPr>
          <w:i/>
          <w:lang w:val="fr-FR"/>
        </w:rPr>
        <w:t>Uni</w:t>
      </w:r>
      <w:r w:rsidRPr="00A66252">
        <w:rPr>
          <w:lang w:val="fr-FR"/>
        </w:rPr>
        <w:t xml:space="preserve"> [GC] (n</w:t>
      </w:r>
      <w:r w:rsidR="009472B8" w:rsidRPr="00A66252">
        <w:rPr>
          <w:vertAlign w:val="superscript"/>
          <w:lang w:val="fr-FR"/>
        </w:rPr>
        <w:t>o</w:t>
      </w:r>
      <w:r w:rsidRPr="00A66252">
        <w:rPr>
          <w:lang w:val="fr-FR"/>
        </w:rPr>
        <w:t xml:space="preserve"> 26565/05, CEDH 2008), le rapport conclut en ces termes</w:t>
      </w:r>
      <w:r w:rsidR="006D3D76" w:rsidRPr="00A66252">
        <w:rPr>
          <w:lang w:val="fr-FR"/>
        </w:rPr>
        <w:t> </w:t>
      </w:r>
      <w:r w:rsidRPr="00A66252">
        <w:rPr>
          <w:lang w:val="fr-FR"/>
        </w:rPr>
        <w:t>:</w:t>
      </w:r>
    </w:p>
    <w:p w:rsidR="006E5806" w:rsidRPr="00A66252" w:rsidRDefault="006D3D76" w:rsidP="00A66252">
      <w:pPr>
        <w:pStyle w:val="ECHRParaQuote"/>
        <w:rPr>
          <w:lang w:val="fr-FR"/>
        </w:rPr>
      </w:pPr>
      <w:r w:rsidRPr="00A66252">
        <w:rPr>
          <w:lang w:val="fr-FR"/>
        </w:rPr>
        <w:t>« </w:t>
      </w:r>
      <w:r w:rsidR="006E5806" w:rsidRPr="00A66252">
        <w:rPr>
          <w:lang w:val="fr-FR"/>
        </w:rPr>
        <w:t>Ce dossier médical ne permet (...) pas de conclure à l</w:t>
      </w:r>
      <w:r w:rsidR="00A66252" w:rsidRPr="00A66252">
        <w:rPr>
          <w:lang w:val="fr-FR"/>
        </w:rPr>
        <w:t>’</w:t>
      </w:r>
      <w:r w:rsidR="006E5806" w:rsidRPr="00A66252">
        <w:rPr>
          <w:lang w:val="fr-FR"/>
        </w:rPr>
        <w:t>existence d</w:t>
      </w:r>
      <w:r w:rsidR="00A66252" w:rsidRPr="00A66252">
        <w:rPr>
          <w:lang w:val="fr-FR"/>
        </w:rPr>
        <w:t>’</w:t>
      </w:r>
      <w:r w:rsidR="006E5806" w:rsidRPr="00A66252">
        <w:rPr>
          <w:lang w:val="fr-FR"/>
        </w:rPr>
        <w:t>un seuil de gravité requis par l</w:t>
      </w:r>
      <w:r w:rsidR="00A66252" w:rsidRPr="00A66252">
        <w:rPr>
          <w:lang w:val="fr-FR"/>
        </w:rPr>
        <w:t>’</w:t>
      </w:r>
      <w:r w:rsidR="006E5806" w:rsidRPr="00A66252">
        <w:rPr>
          <w:lang w:val="fr-FR"/>
        </w:rPr>
        <w:t>article 3 de la Convention, tel qu</w:t>
      </w:r>
      <w:r w:rsidR="00A66252" w:rsidRPr="00A66252">
        <w:rPr>
          <w:lang w:val="fr-FR"/>
        </w:rPr>
        <w:t>’</w:t>
      </w:r>
      <w:r w:rsidR="006E5806" w:rsidRPr="00A66252">
        <w:rPr>
          <w:lang w:val="fr-FR"/>
        </w:rPr>
        <w:t>interprété par la Cour (...).</w:t>
      </w:r>
    </w:p>
    <w:p w:rsidR="006E5806" w:rsidRPr="00A66252" w:rsidRDefault="006E5806" w:rsidP="00A66252">
      <w:pPr>
        <w:pStyle w:val="ECHRParaQuote"/>
        <w:rPr>
          <w:lang w:val="fr-FR"/>
        </w:rPr>
      </w:pPr>
      <w:r w:rsidRPr="00A66252">
        <w:rPr>
          <w:lang w:val="fr-FR"/>
        </w:rPr>
        <w:t>Au regard du dossier médical, il apparaît que les pathologies figurant dans des certificats médicaux (...) ne mettent pas en évidence de menace directe pour la vie du concerné. Les affections du requérant sont graves, potentiellement mortelles mais sont actuellement sous contrôle.</w:t>
      </w:r>
    </w:p>
    <w:p w:rsidR="006E5806" w:rsidRPr="00A66252" w:rsidRDefault="006E5806" w:rsidP="00A66252">
      <w:pPr>
        <w:pStyle w:val="ECHRParaQuote"/>
        <w:rPr>
          <w:lang w:val="fr-FR"/>
        </w:rPr>
      </w:pPr>
      <w:r w:rsidRPr="00A66252">
        <w:rPr>
          <w:lang w:val="fr-FR"/>
        </w:rPr>
        <w:t>Aucun organe vital n</w:t>
      </w:r>
      <w:r w:rsidR="00A66252" w:rsidRPr="00A66252">
        <w:rPr>
          <w:lang w:val="fr-FR"/>
        </w:rPr>
        <w:t>’</w:t>
      </w:r>
      <w:r w:rsidRPr="00A66252">
        <w:rPr>
          <w:lang w:val="fr-FR"/>
        </w:rPr>
        <w:t>est dans un état tel que le pronostic vital est directement mis en péril. L</w:t>
      </w:r>
      <w:r w:rsidR="00A66252" w:rsidRPr="00A66252">
        <w:rPr>
          <w:lang w:val="fr-FR"/>
        </w:rPr>
        <w:t>’</w:t>
      </w:r>
      <w:r w:rsidRPr="00A66252">
        <w:rPr>
          <w:lang w:val="fr-FR"/>
        </w:rPr>
        <w:t>hépatite C ne cause actuellement aucune cirrhose. L</w:t>
      </w:r>
      <w:r w:rsidR="00A66252" w:rsidRPr="00A66252">
        <w:rPr>
          <w:lang w:val="fr-FR"/>
        </w:rPr>
        <w:t>’</w:t>
      </w:r>
      <w:r w:rsidRPr="00A66252">
        <w:rPr>
          <w:lang w:val="fr-FR"/>
        </w:rPr>
        <w:t>affection pneumologique est équilibrée par la thérapeutique composée seulement d</w:t>
      </w:r>
      <w:r w:rsidR="00A66252" w:rsidRPr="00A66252">
        <w:rPr>
          <w:lang w:val="fr-FR"/>
        </w:rPr>
        <w:t>’</w:t>
      </w:r>
      <w:r w:rsidRPr="00A66252">
        <w:rPr>
          <w:lang w:val="fr-FR"/>
        </w:rPr>
        <w:t>un corticostéroïde inhalé. La pathologie hématologique est actuellement stabilisée. On ne note plus la présence d</w:t>
      </w:r>
      <w:r w:rsidR="00A66252" w:rsidRPr="00A66252">
        <w:rPr>
          <w:lang w:val="fr-FR"/>
        </w:rPr>
        <w:t>’</w:t>
      </w:r>
      <w:r w:rsidRPr="00A66252">
        <w:rPr>
          <w:lang w:val="fr-FR"/>
        </w:rPr>
        <w:t>adénopathies. L</w:t>
      </w:r>
      <w:r w:rsidR="00A66252" w:rsidRPr="00A66252">
        <w:rPr>
          <w:lang w:val="fr-FR"/>
        </w:rPr>
        <w:t>’</w:t>
      </w:r>
      <w:r w:rsidRPr="00A66252">
        <w:rPr>
          <w:lang w:val="fr-FR"/>
        </w:rPr>
        <w:t>anémie hémolytique est résolue. La chimiothérapie est pour l</w:t>
      </w:r>
      <w:r w:rsidR="00A66252" w:rsidRPr="00A66252">
        <w:rPr>
          <w:lang w:val="fr-FR"/>
        </w:rPr>
        <w:t>’</w:t>
      </w:r>
      <w:r w:rsidRPr="00A66252">
        <w:rPr>
          <w:lang w:val="fr-FR"/>
        </w:rPr>
        <w:t>instant interrompue.</w:t>
      </w:r>
    </w:p>
    <w:p w:rsidR="006E5806" w:rsidRPr="00A66252" w:rsidRDefault="006E5806" w:rsidP="00A66252">
      <w:pPr>
        <w:pStyle w:val="ECHRParaQuote"/>
        <w:rPr>
          <w:lang w:val="fr-FR"/>
        </w:rPr>
      </w:pPr>
      <w:r w:rsidRPr="00A66252">
        <w:rPr>
          <w:lang w:val="fr-FR"/>
        </w:rPr>
        <w:t>(...) Un monitorage des paramètres vitaux ou un contrôle médical permanent ne sont pas nécessaires pour garantir le pronostic vital du concerné.</w:t>
      </w:r>
    </w:p>
    <w:p w:rsidR="008941EC" w:rsidRPr="00A66252" w:rsidRDefault="006E5806" w:rsidP="00A66252">
      <w:pPr>
        <w:pStyle w:val="ECHRParaQuote"/>
        <w:rPr>
          <w:lang w:val="fr-FR"/>
        </w:rPr>
      </w:pPr>
      <w:r w:rsidRPr="00A66252">
        <w:rPr>
          <w:lang w:val="fr-FR"/>
        </w:rPr>
        <w:t>Le stade de l</w:t>
      </w:r>
      <w:r w:rsidR="00A66252" w:rsidRPr="00A66252">
        <w:rPr>
          <w:lang w:val="fr-FR"/>
        </w:rPr>
        <w:t>’</w:t>
      </w:r>
      <w:r w:rsidRPr="00A66252">
        <w:rPr>
          <w:lang w:val="fr-FR"/>
        </w:rPr>
        <w:t>affection ne peut pas être considéré comme terminal à l</w:t>
      </w:r>
      <w:r w:rsidR="00A66252" w:rsidRPr="00A66252">
        <w:rPr>
          <w:lang w:val="fr-FR"/>
        </w:rPr>
        <w:t>’</w:t>
      </w:r>
      <w:r w:rsidRPr="00A66252">
        <w:rPr>
          <w:lang w:val="fr-FR"/>
        </w:rPr>
        <w:t>heure actuelle. (...) On est proche du stade Binet A à l</w:t>
      </w:r>
      <w:r w:rsidR="00A66252" w:rsidRPr="00A66252">
        <w:rPr>
          <w:lang w:val="fr-FR"/>
        </w:rPr>
        <w:t>’</w:t>
      </w:r>
      <w:r w:rsidRPr="00A66252">
        <w:rPr>
          <w:lang w:val="fr-FR"/>
        </w:rPr>
        <w:t>heure actuelle. La broncho-pneumopathie chronique obstructive est également contrôlée à l</w:t>
      </w:r>
      <w:r w:rsidR="00A66252" w:rsidRPr="00A66252">
        <w:rPr>
          <w:lang w:val="fr-FR"/>
        </w:rPr>
        <w:t>’</w:t>
      </w:r>
      <w:r w:rsidRPr="00A66252">
        <w:rPr>
          <w:lang w:val="fr-FR"/>
        </w:rPr>
        <w:t>heure actuelle</w:t>
      </w:r>
      <w:r w:rsidR="006D3D76" w:rsidRPr="00A66252">
        <w:rPr>
          <w:lang w:val="fr-FR"/>
        </w:rPr>
        <w:t> </w:t>
      </w:r>
      <w:r w:rsidRPr="00A66252">
        <w:rPr>
          <w:lang w:val="fr-FR"/>
        </w:rPr>
        <w:t>».</w:t>
      </w:r>
    </w:p>
    <w:bookmarkStart w:id="18" w:name="OERAPMED0615"/>
    <w:p w:rsidR="003C1EAF" w:rsidRPr="00A66252" w:rsidRDefault="003C1EAF" w:rsidP="00A66252">
      <w:pPr>
        <w:pStyle w:val="ECHRPara"/>
        <w:ind w:firstLine="232"/>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68</w:t>
      </w:r>
      <w:r w:rsidRPr="00A66252">
        <w:rPr>
          <w:szCs w:val="24"/>
          <w:lang w:val="fr-FR"/>
        </w:rPr>
        <w:fldChar w:fldCharType="end"/>
      </w:r>
      <w:bookmarkEnd w:id="18"/>
      <w:r w:rsidRPr="00A66252">
        <w:rPr>
          <w:szCs w:val="24"/>
          <w:lang w:val="fr-FR"/>
        </w:rPr>
        <w:t>.  Un rapport médical établi le 23 juin 2015 par le médecin conseil de l</w:t>
      </w:r>
      <w:r w:rsidR="00A66252" w:rsidRPr="00A66252">
        <w:rPr>
          <w:szCs w:val="24"/>
          <w:lang w:val="fr-FR"/>
        </w:rPr>
        <w:t>’</w:t>
      </w:r>
      <w:r w:rsidRPr="00A66252">
        <w:rPr>
          <w:szCs w:val="24"/>
          <w:lang w:val="fr-FR"/>
        </w:rPr>
        <w:t>OE fit le point, de manière détaillée, sur l</w:t>
      </w:r>
      <w:r w:rsidR="00A66252" w:rsidRPr="00A66252">
        <w:rPr>
          <w:szCs w:val="24"/>
          <w:lang w:val="fr-FR"/>
        </w:rPr>
        <w:t>’</w:t>
      </w:r>
      <w:r w:rsidRPr="00A66252">
        <w:rPr>
          <w:szCs w:val="24"/>
          <w:lang w:val="fr-FR"/>
        </w:rPr>
        <w:t>historique clinique et l</w:t>
      </w:r>
      <w:r w:rsidR="00A66252" w:rsidRPr="00A66252">
        <w:rPr>
          <w:szCs w:val="24"/>
          <w:lang w:val="fr-FR"/>
        </w:rPr>
        <w:t>’</w:t>
      </w:r>
      <w:r w:rsidRPr="00A66252">
        <w:rPr>
          <w:szCs w:val="24"/>
          <w:lang w:val="fr-FR"/>
        </w:rPr>
        <w:t>état de santé actuel du requérant ainsi que les traitements en cours. Il conclut en ces termes :</w:t>
      </w:r>
    </w:p>
    <w:p w:rsidR="003C1EAF" w:rsidRPr="00A66252" w:rsidRDefault="003C1EAF" w:rsidP="00A66252">
      <w:pPr>
        <w:pStyle w:val="JuQuotSub"/>
        <w:rPr>
          <w:lang w:val="fr-FR"/>
        </w:rPr>
      </w:pPr>
      <w:r w:rsidRPr="00A66252">
        <w:rPr>
          <w:lang w:val="fr-FR"/>
        </w:rPr>
        <w:t>« [Le] dossier médical ne permet donc pas de conclure à l</w:t>
      </w:r>
      <w:r w:rsidR="00A66252" w:rsidRPr="00A66252">
        <w:rPr>
          <w:lang w:val="fr-FR"/>
        </w:rPr>
        <w:t>’</w:t>
      </w:r>
      <w:r w:rsidRPr="00A66252">
        <w:rPr>
          <w:lang w:val="fr-FR"/>
        </w:rPr>
        <w:t>existence d</w:t>
      </w:r>
      <w:r w:rsidR="00A66252" w:rsidRPr="00A66252">
        <w:rPr>
          <w:lang w:val="fr-FR"/>
        </w:rPr>
        <w:t>’</w:t>
      </w:r>
      <w:r w:rsidRPr="00A66252">
        <w:rPr>
          <w:lang w:val="fr-FR"/>
        </w:rPr>
        <w:t>un seuil de gravité requis par l</w:t>
      </w:r>
      <w:r w:rsidR="00A66252" w:rsidRPr="00A66252">
        <w:rPr>
          <w:lang w:val="fr-FR"/>
        </w:rPr>
        <w:t>’</w:t>
      </w:r>
      <w:r w:rsidRPr="00A66252">
        <w:rPr>
          <w:lang w:val="fr-FR"/>
        </w:rPr>
        <w:t>article 3 de la Convention qui exige une affection présentant un risque vital vu l</w:t>
      </w:r>
      <w:r w:rsidR="00A66252" w:rsidRPr="00A66252">
        <w:rPr>
          <w:lang w:val="fr-FR"/>
        </w:rPr>
        <w:t>’</w:t>
      </w:r>
      <w:r w:rsidRPr="00A66252">
        <w:rPr>
          <w:lang w:val="fr-FR"/>
        </w:rPr>
        <w:t>état de santé critique ou le stade très avancé de la maladie (</w:t>
      </w:r>
      <w:r w:rsidRPr="00A66252">
        <w:rPr>
          <w:i/>
          <w:iCs/>
          <w:lang w:val="fr-FR"/>
        </w:rPr>
        <w:t>N</w:t>
      </w:r>
      <w:r w:rsidR="006D3D76" w:rsidRPr="00A66252">
        <w:rPr>
          <w:lang w:val="fr-FR"/>
        </w:rPr>
        <w:t>. </w:t>
      </w:r>
      <w:r w:rsidRPr="00A66252">
        <w:rPr>
          <w:i/>
          <w:iCs/>
          <w:lang w:val="fr-FR"/>
        </w:rPr>
        <w:t xml:space="preserve">c. Royaume-Uni, </w:t>
      </w:r>
      <w:r w:rsidRPr="00A66252">
        <w:rPr>
          <w:lang w:val="fr-FR"/>
        </w:rPr>
        <w:t>[GC], n</w:t>
      </w:r>
      <w:r w:rsidRPr="00A66252">
        <w:rPr>
          <w:vertAlign w:val="superscript"/>
          <w:lang w:val="fr-FR"/>
        </w:rPr>
        <w:t>o</w:t>
      </w:r>
      <w:r w:rsidRPr="00A66252">
        <w:rPr>
          <w:lang w:val="fr-FR"/>
        </w:rPr>
        <w:t xml:space="preserve"> 26565/05, CEDH 2008, </w:t>
      </w:r>
      <w:r w:rsidRPr="00A66252">
        <w:rPr>
          <w:i/>
          <w:lang w:val="fr-FR"/>
        </w:rPr>
        <w:t>D. c. Royaume-Uni</w:t>
      </w:r>
      <w:r w:rsidRPr="00A66252">
        <w:rPr>
          <w:lang w:val="fr-FR"/>
        </w:rPr>
        <w:t xml:space="preserve">, 2 mai 1997, </w:t>
      </w:r>
      <w:r w:rsidRPr="00A66252">
        <w:rPr>
          <w:i/>
          <w:lang w:val="fr-FR"/>
        </w:rPr>
        <w:t xml:space="preserve">Recueil des arrêts et décisions </w:t>
      </w:r>
      <w:r w:rsidRPr="00A66252">
        <w:rPr>
          <w:lang w:val="fr-FR"/>
        </w:rPr>
        <w:t>1997</w:t>
      </w:r>
      <w:r w:rsidRPr="00A66252">
        <w:rPr>
          <w:lang w:val="fr-FR"/>
        </w:rPr>
        <w:noBreakHyphen/>
        <w:t>III).</w:t>
      </w:r>
    </w:p>
    <w:p w:rsidR="003C1EAF" w:rsidRPr="00A66252" w:rsidRDefault="003C1EAF" w:rsidP="00A66252">
      <w:pPr>
        <w:pStyle w:val="JuQuotSub"/>
        <w:rPr>
          <w:lang w:val="fr-FR"/>
        </w:rPr>
      </w:pPr>
      <w:r w:rsidRPr="00A66252">
        <w:rPr>
          <w:lang w:val="fr-FR"/>
        </w:rPr>
        <w:t>Au regard du dossier médical, il apparaît que les pathologies figurant dans le dernier dossier médical actualisé (</w:t>
      </w:r>
      <w:r w:rsidR="001124A8" w:rsidRPr="00A66252">
        <w:rPr>
          <w:lang w:val="fr-FR"/>
        </w:rPr>
        <w:t>[</w:t>
      </w:r>
      <w:r w:rsidRPr="00A66252">
        <w:rPr>
          <w:lang w:val="fr-FR"/>
        </w:rPr>
        <w:t>Dr L</w:t>
      </w:r>
      <w:r w:rsidR="001124A8" w:rsidRPr="00A66252">
        <w:rPr>
          <w:lang w:val="fr-FR"/>
        </w:rPr>
        <w:t>.]</w:t>
      </w:r>
      <w:r w:rsidRPr="00A66252">
        <w:rPr>
          <w:lang w:val="fr-FR"/>
        </w:rPr>
        <w:t xml:space="preserve"> 25.05.2015) (</w:t>
      </w:r>
      <w:r w:rsidR="009472B8" w:rsidRPr="00A66252">
        <w:rPr>
          <w:lang w:val="fr-FR"/>
        </w:rPr>
        <w:t>...</w:t>
      </w:r>
      <w:r w:rsidRPr="00A66252">
        <w:rPr>
          <w:lang w:val="fr-FR"/>
        </w:rPr>
        <w:t>) ne mettent pas en évidence :</w:t>
      </w:r>
    </w:p>
    <w:p w:rsidR="003C1EAF" w:rsidRPr="00A66252" w:rsidRDefault="006D3D76" w:rsidP="00A66252">
      <w:pPr>
        <w:pStyle w:val="JuQuotSub"/>
        <w:rPr>
          <w:lang w:val="fr-FR"/>
        </w:rPr>
      </w:pPr>
      <w:r w:rsidRPr="00A66252">
        <w:rPr>
          <w:lang w:val="fr-FR"/>
        </w:rPr>
        <w:t>-  </w:t>
      </w:r>
      <w:r w:rsidR="003C1EAF" w:rsidRPr="00A66252">
        <w:rPr>
          <w:lang w:val="fr-FR"/>
        </w:rPr>
        <w:t>De menace directe pour la vie du concerné. Les affections du requérant sont graves, potentiellement mortelles, mais elles sont actuellement sous contrôle. (</w:t>
      </w:r>
      <w:r w:rsidR="009472B8" w:rsidRPr="00A66252">
        <w:rPr>
          <w:lang w:val="fr-FR"/>
        </w:rPr>
        <w:t>...</w:t>
      </w:r>
      <w:r w:rsidR="003C1EAF" w:rsidRPr="00A66252">
        <w:rPr>
          <w:lang w:val="fr-FR"/>
        </w:rPr>
        <w:t>)</w:t>
      </w:r>
    </w:p>
    <w:p w:rsidR="003C1EAF" w:rsidRPr="00A66252" w:rsidRDefault="006D3D76" w:rsidP="00A66252">
      <w:pPr>
        <w:pStyle w:val="JuQuotSub"/>
        <w:rPr>
          <w:lang w:val="fr-FR"/>
        </w:rPr>
      </w:pPr>
      <w:r w:rsidRPr="00A66252">
        <w:rPr>
          <w:lang w:val="fr-FR"/>
        </w:rPr>
        <w:t>-  </w:t>
      </w:r>
      <w:r w:rsidR="003C1EAF" w:rsidRPr="00A66252">
        <w:rPr>
          <w:lang w:val="fr-FR"/>
        </w:rPr>
        <w:t>Aucun organe vital n</w:t>
      </w:r>
      <w:r w:rsidR="00A66252" w:rsidRPr="00A66252">
        <w:rPr>
          <w:lang w:val="fr-FR"/>
        </w:rPr>
        <w:t>’</w:t>
      </w:r>
      <w:r w:rsidR="003C1EAF" w:rsidRPr="00A66252">
        <w:rPr>
          <w:lang w:val="fr-FR"/>
        </w:rPr>
        <w:t>est dans un état tel que le pronostic vital est directement mis en péril. (</w:t>
      </w:r>
      <w:r w:rsidR="009472B8" w:rsidRPr="00A66252">
        <w:rPr>
          <w:lang w:val="fr-FR"/>
        </w:rPr>
        <w:t>...</w:t>
      </w:r>
      <w:r w:rsidR="003C1EAF" w:rsidRPr="00A66252">
        <w:rPr>
          <w:lang w:val="fr-FR"/>
        </w:rPr>
        <w:t>)</w:t>
      </w:r>
    </w:p>
    <w:p w:rsidR="003C1EAF" w:rsidRPr="00A66252" w:rsidRDefault="006D3D76" w:rsidP="00A66252">
      <w:pPr>
        <w:pStyle w:val="JuQuotSub"/>
        <w:rPr>
          <w:lang w:val="fr-FR"/>
        </w:rPr>
      </w:pPr>
      <w:r w:rsidRPr="00A66252">
        <w:rPr>
          <w:lang w:val="fr-FR"/>
        </w:rPr>
        <w:t>-  </w:t>
      </w:r>
      <w:r w:rsidR="003C1EAF" w:rsidRPr="00A66252">
        <w:rPr>
          <w:lang w:val="fr-FR"/>
        </w:rPr>
        <w:t>Un état de santé critique. Un monitorage des paramètres vitaux ou un contrôle médical permanent ne sont pas nécessaires pour garantir le pronostic vital du concerné. Le stade de l</w:t>
      </w:r>
      <w:r w:rsidR="00A66252" w:rsidRPr="00A66252">
        <w:rPr>
          <w:lang w:val="fr-FR"/>
        </w:rPr>
        <w:t>’</w:t>
      </w:r>
      <w:r w:rsidR="003C1EAF" w:rsidRPr="00A66252">
        <w:rPr>
          <w:lang w:val="fr-FR"/>
        </w:rPr>
        <w:t>affection ne peut pas être considéré comme terminal à l</w:t>
      </w:r>
      <w:r w:rsidR="00A66252" w:rsidRPr="00A66252">
        <w:rPr>
          <w:lang w:val="fr-FR"/>
        </w:rPr>
        <w:t>’</w:t>
      </w:r>
      <w:r w:rsidR="003C1EAF" w:rsidRPr="00A66252">
        <w:rPr>
          <w:lang w:val="fr-FR"/>
        </w:rPr>
        <w:t>heure actuelle (</w:t>
      </w:r>
      <w:r w:rsidR="009472B8" w:rsidRPr="00A66252">
        <w:rPr>
          <w:lang w:val="fr-FR"/>
        </w:rPr>
        <w:t>...</w:t>
      </w:r>
      <w:r w:rsidR="003C1EAF" w:rsidRPr="00A66252">
        <w:rPr>
          <w:lang w:val="fr-FR"/>
        </w:rPr>
        <w:t>). »</w:t>
      </w:r>
    </w:p>
    <w:p w:rsidR="006E5806" w:rsidRPr="00A66252" w:rsidRDefault="00873DCE" w:rsidP="00A66252">
      <w:pPr>
        <w:pStyle w:val="ECHRHeading2"/>
        <w:rPr>
          <w:lang w:val="fr-FR"/>
        </w:rPr>
      </w:pPr>
      <w:r w:rsidRPr="00A66252">
        <w:rPr>
          <w:lang w:val="fr-FR"/>
        </w:rPr>
        <w:lastRenderedPageBreak/>
        <w:t>F</w:t>
      </w:r>
      <w:r w:rsidR="00276F84" w:rsidRPr="00A66252">
        <w:rPr>
          <w:lang w:val="fr-FR"/>
        </w:rPr>
        <w:t>.  </w:t>
      </w:r>
      <w:r w:rsidR="00FC051D" w:rsidRPr="00A66252">
        <w:rPr>
          <w:lang w:val="fr-FR"/>
        </w:rPr>
        <w:t>Les p</w:t>
      </w:r>
      <w:r w:rsidR="006E5806" w:rsidRPr="00A66252">
        <w:rPr>
          <w:lang w:val="fr-FR"/>
        </w:rPr>
        <w:t>rocédures d</w:t>
      </w:r>
      <w:r w:rsidR="00A66252" w:rsidRPr="00A66252">
        <w:rPr>
          <w:lang w:val="fr-FR"/>
        </w:rPr>
        <w:t>’</w:t>
      </w:r>
      <w:r w:rsidR="006E5806" w:rsidRPr="00A66252">
        <w:rPr>
          <w:lang w:val="fr-FR"/>
        </w:rPr>
        <w:t xml:space="preserve">éloignement et </w:t>
      </w:r>
      <w:r w:rsidR="00FC051D" w:rsidRPr="00A66252">
        <w:rPr>
          <w:lang w:val="fr-FR"/>
        </w:rPr>
        <w:t>l</w:t>
      </w:r>
      <w:r w:rsidR="00A66252" w:rsidRPr="00A66252">
        <w:rPr>
          <w:lang w:val="fr-FR"/>
        </w:rPr>
        <w:t>’</w:t>
      </w:r>
      <w:r w:rsidR="006E5806" w:rsidRPr="00A66252">
        <w:rPr>
          <w:lang w:val="fr-FR"/>
        </w:rPr>
        <w:t>intervention de la Cour</w:t>
      </w:r>
    </w:p>
    <w:p w:rsidR="006E5806" w:rsidRPr="00A66252" w:rsidRDefault="00276F84" w:rsidP="00A66252">
      <w:pPr>
        <w:pStyle w:val="ECHRHeading3"/>
        <w:rPr>
          <w:lang w:val="fr-FR"/>
        </w:rPr>
      </w:pPr>
      <w:r w:rsidRPr="00A66252">
        <w:rPr>
          <w:lang w:val="fr-FR"/>
        </w:rPr>
        <w:t>1.  </w:t>
      </w:r>
      <w:r w:rsidR="006E5806" w:rsidRPr="00A66252">
        <w:rPr>
          <w:lang w:val="fr-FR"/>
        </w:rPr>
        <w:t>Ordre de quitter le territoire en application de la Convention Dublin</w:t>
      </w:r>
    </w:p>
    <w:p w:rsidR="006E5806" w:rsidRPr="00A66252" w:rsidRDefault="00206F7F"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69</w:t>
      </w:r>
      <w:r w:rsidRPr="00A66252">
        <w:rPr>
          <w:lang w:val="fr-FR"/>
        </w:rPr>
        <w:fldChar w:fldCharType="end"/>
      </w:r>
      <w:r w:rsidRPr="00A66252">
        <w:rPr>
          <w:lang w:val="fr-FR"/>
        </w:rPr>
        <w:t>.  </w:t>
      </w:r>
      <w:r w:rsidR="006E5806" w:rsidRPr="00A66252">
        <w:rPr>
          <w:lang w:val="fr-FR"/>
        </w:rPr>
        <w:t>Le 10 juin 1999, au motif que les autorités belges n</w:t>
      </w:r>
      <w:r w:rsidR="00A66252" w:rsidRPr="00A66252">
        <w:rPr>
          <w:lang w:val="fr-FR"/>
        </w:rPr>
        <w:t>’</w:t>
      </w:r>
      <w:r w:rsidR="006E5806" w:rsidRPr="00A66252">
        <w:rPr>
          <w:lang w:val="fr-FR"/>
        </w:rPr>
        <w:t>étaient pas compétentes, en application de la Convention Dublin, pour examiner leur demande d</w:t>
      </w:r>
      <w:r w:rsidR="00A66252" w:rsidRPr="00A66252">
        <w:rPr>
          <w:lang w:val="fr-FR"/>
        </w:rPr>
        <w:t>’</w:t>
      </w:r>
      <w:r w:rsidR="006E5806" w:rsidRPr="00A66252">
        <w:rPr>
          <w:lang w:val="fr-FR"/>
        </w:rPr>
        <w:t>asile, l</w:t>
      </w:r>
      <w:r w:rsidR="00A66252" w:rsidRPr="00A66252">
        <w:rPr>
          <w:lang w:val="fr-FR"/>
        </w:rPr>
        <w:t>’</w:t>
      </w:r>
      <w:r w:rsidR="006E5806" w:rsidRPr="00A66252">
        <w:rPr>
          <w:lang w:val="fr-FR"/>
        </w:rPr>
        <w:t>OE délivra un ordre de quitter le territoire au requérant et à son épouse en vue de leur transfert en Italie. Leur départ fut toutefois différé en raison de la grossesse de l</w:t>
      </w:r>
      <w:r w:rsidR="00A66252" w:rsidRPr="00A66252">
        <w:rPr>
          <w:lang w:val="fr-FR"/>
        </w:rPr>
        <w:t>’</w:t>
      </w:r>
      <w:r w:rsidR="006E5806" w:rsidRPr="00A66252">
        <w:rPr>
          <w:lang w:val="fr-FR"/>
        </w:rPr>
        <w:t>épouse du requérant.</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70</w:t>
      </w:r>
      <w:r w:rsidRPr="00A66252">
        <w:rPr>
          <w:lang w:val="fr-FR"/>
        </w:rPr>
        <w:fldChar w:fldCharType="end"/>
      </w:r>
      <w:r w:rsidRPr="00A66252">
        <w:rPr>
          <w:lang w:val="fr-FR"/>
        </w:rPr>
        <w:t>.  </w:t>
      </w:r>
      <w:r w:rsidR="006E5806" w:rsidRPr="00A66252">
        <w:rPr>
          <w:lang w:val="fr-FR"/>
        </w:rPr>
        <w:t>Après la naissance, le séjour de la f</w:t>
      </w:r>
      <w:r w:rsidR="00B32D6C" w:rsidRPr="00A66252">
        <w:rPr>
          <w:lang w:val="fr-FR"/>
        </w:rPr>
        <w:t>amille fut prolongé jusqu</w:t>
      </w:r>
      <w:r w:rsidR="00A66252" w:rsidRPr="00A66252">
        <w:rPr>
          <w:lang w:val="fr-FR"/>
        </w:rPr>
        <w:t>’</w:t>
      </w:r>
      <w:r w:rsidR="00B32D6C" w:rsidRPr="00A66252">
        <w:rPr>
          <w:lang w:val="fr-FR"/>
        </w:rPr>
        <w:t>au 14 </w:t>
      </w:r>
      <w:r w:rsidR="006E5806" w:rsidRPr="00A66252">
        <w:rPr>
          <w:lang w:val="fr-FR"/>
        </w:rPr>
        <w:t>octobre 1999 en raison de l</w:t>
      </w:r>
      <w:r w:rsidR="00A66252" w:rsidRPr="00A66252">
        <w:rPr>
          <w:lang w:val="fr-FR"/>
        </w:rPr>
        <w:t>’</w:t>
      </w:r>
      <w:r w:rsidR="006E5806" w:rsidRPr="00A66252">
        <w:rPr>
          <w:lang w:val="fr-FR"/>
        </w:rPr>
        <w:t>hospitalisation du nouveau-né. Ensuite, le séjour de la famille fut prolongé jusqu</w:t>
      </w:r>
      <w:r w:rsidR="00A66252" w:rsidRPr="00A66252">
        <w:rPr>
          <w:lang w:val="fr-FR"/>
        </w:rPr>
        <w:t>’</w:t>
      </w:r>
      <w:r w:rsidR="006E5806" w:rsidRPr="00A66252">
        <w:rPr>
          <w:lang w:val="fr-FR"/>
        </w:rPr>
        <w:t>au 15 mars 2000 au motif que l</w:t>
      </w:r>
      <w:r w:rsidR="00A66252" w:rsidRPr="00A66252">
        <w:rPr>
          <w:lang w:val="fr-FR"/>
        </w:rPr>
        <w:t>’</w:t>
      </w:r>
      <w:r w:rsidR="006E5806" w:rsidRPr="00A66252">
        <w:rPr>
          <w:lang w:val="fr-FR"/>
        </w:rPr>
        <w:t>enfant nécessitait un suivi régulier en gastroentérologie pédiatrique.</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71</w:t>
      </w:r>
      <w:r w:rsidRPr="00A66252">
        <w:rPr>
          <w:lang w:val="fr-FR"/>
        </w:rPr>
        <w:fldChar w:fldCharType="end"/>
      </w:r>
      <w:r w:rsidRPr="00A66252">
        <w:rPr>
          <w:lang w:val="fr-FR"/>
        </w:rPr>
        <w:t>.  </w:t>
      </w:r>
      <w:r w:rsidR="006E5806" w:rsidRPr="00A66252">
        <w:rPr>
          <w:lang w:val="fr-FR"/>
        </w:rPr>
        <w:t xml:space="preserve">Le délai accordé à la famille pour quitter le territoire fut, à plusieurs reprises, prolongé au cours du premier semestre 2000 en raison du suivi médical dont le requérant avait besoin du fait de sa tuberculose (voir paragraphe </w:t>
      </w:r>
      <w:r w:rsidR="005C2983" w:rsidRPr="00A66252">
        <w:rPr>
          <w:lang w:val="fr-FR"/>
        </w:rPr>
        <w:fldChar w:fldCharType="begin"/>
      </w:r>
      <w:r w:rsidR="005C2983" w:rsidRPr="00A66252">
        <w:rPr>
          <w:lang w:val="fr-FR"/>
        </w:rPr>
        <w:instrText xml:space="preserve"> REF Tuberculose \h </w:instrText>
      </w:r>
      <w:r w:rsidR="0080142D" w:rsidRPr="00A66252">
        <w:rPr>
          <w:lang w:val="fr-FR"/>
        </w:rPr>
        <w:instrText xml:space="preserve"> \* MERGEFORMAT </w:instrText>
      </w:r>
      <w:r w:rsidR="005C2983" w:rsidRPr="00A66252">
        <w:rPr>
          <w:lang w:val="fr-FR"/>
        </w:rPr>
      </w:r>
      <w:r w:rsidR="005C2983" w:rsidRPr="00A66252">
        <w:rPr>
          <w:lang w:val="fr-FR"/>
        </w:rPr>
        <w:fldChar w:fldCharType="separate"/>
      </w:r>
      <w:r w:rsidR="00A66252" w:rsidRPr="00A66252">
        <w:rPr>
          <w:noProof/>
          <w:lang w:val="fr-FR"/>
        </w:rPr>
        <w:t>49</w:t>
      </w:r>
      <w:r w:rsidR="005C2983" w:rsidRPr="00A66252">
        <w:rPr>
          <w:lang w:val="fr-FR"/>
        </w:rPr>
        <w:fldChar w:fldCharType="end"/>
      </w:r>
      <w:r w:rsidR="005C2983" w:rsidRPr="00A66252">
        <w:rPr>
          <w:lang w:val="fr-FR"/>
        </w:rPr>
        <w:t>, ci-dess</w:t>
      </w:r>
      <w:r w:rsidR="006E5806" w:rsidRPr="00A66252">
        <w:rPr>
          <w:lang w:val="fr-FR"/>
        </w:rPr>
        <w:t>us) et du traitement antituberculeux dont avait besoin l</w:t>
      </w:r>
      <w:r w:rsidR="00A66252" w:rsidRPr="00A66252">
        <w:rPr>
          <w:lang w:val="fr-FR"/>
        </w:rPr>
        <w:t>’</w:t>
      </w:r>
      <w:r w:rsidR="006E5806" w:rsidRPr="00A66252">
        <w:rPr>
          <w:lang w:val="fr-FR"/>
        </w:rPr>
        <w:t>ensemble de la famille pendant six mois.</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72</w:t>
      </w:r>
      <w:r w:rsidRPr="00A66252">
        <w:rPr>
          <w:lang w:val="fr-FR"/>
        </w:rPr>
        <w:fldChar w:fldCharType="end"/>
      </w:r>
      <w:r w:rsidRPr="00A66252">
        <w:rPr>
          <w:lang w:val="fr-FR"/>
        </w:rPr>
        <w:t>.  </w:t>
      </w:r>
      <w:r w:rsidR="006E5806" w:rsidRPr="00A66252">
        <w:rPr>
          <w:lang w:val="fr-FR"/>
        </w:rPr>
        <w:t>Le 23 octobre 2000, l</w:t>
      </w:r>
      <w:r w:rsidR="00A66252" w:rsidRPr="00A66252">
        <w:rPr>
          <w:lang w:val="fr-FR"/>
        </w:rPr>
        <w:t>’</w:t>
      </w:r>
      <w:r w:rsidR="006E5806" w:rsidRPr="00A66252">
        <w:rPr>
          <w:lang w:val="fr-FR"/>
        </w:rPr>
        <w:t>OE informa le conseil du requérant que ce délai était prolongé jusqu</w:t>
      </w:r>
      <w:r w:rsidR="00A66252" w:rsidRPr="00A66252">
        <w:rPr>
          <w:lang w:val="fr-FR"/>
        </w:rPr>
        <w:t>’</w:t>
      </w:r>
      <w:r w:rsidR="006E5806" w:rsidRPr="00A66252">
        <w:rPr>
          <w:lang w:val="fr-FR"/>
        </w:rPr>
        <w:t>à la complète guérison du requérant et de son enfant.</w:t>
      </w:r>
    </w:p>
    <w:p w:rsidR="006E5806" w:rsidRPr="00A66252" w:rsidRDefault="00276F84" w:rsidP="00A66252">
      <w:pPr>
        <w:pStyle w:val="ECHRHeading3"/>
        <w:rPr>
          <w:lang w:val="fr-FR"/>
        </w:rPr>
      </w:pPr>
      <w:r w:rsidRPr="00A66252">
        <w:rPr>
          <w:lang w:val="fr-FR"/>
        </w:rPr>
        <w:t>2.  </w:t>
      </w:r>
      <w:r w:rsidR="006E5806" w:rsidRPr="00A66252">
        <w:rPr>
          <w:lang w:val="fr-FR"/>
        </w:rPr>
        <w:t>Arrêté ministériel de renvoi</w:t>
      </w:r>
    </w:p>
    <w:bookmarkStart w:id="19" w:name="AMRENVOI"/>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73</w:t>
      </w:r>
      <w:r w:rsidRPr="00A66252">
        <w:rPr>
          <w:lang w:val="fr-FR"/>
        </w:rPr>
        <w:fldChar w:fldCharType="end"/>
      </w:r>
      <w:bookmarkEnd w:id="19"/>
      <w:r w:rsidRPr="00A66252">
        <w:rPr>
          <w:lang w:val="fr-FR"/>
        </w:rPr>
        <w:t>.  </w:t>
      </w:r>
      <w:r w:rsidR="004F7C05" w:rsidRPr="00A66252">
        <w:rPr>
          <w:lang w:val="fr-FR"/>
        </w:rPr>
        <w:t>Alors que le requérant purgeait une p</w:t>
      </w:r>
      <w:r w:rsidR="006D3D76" w:rsidRPr="00A66252">
        <w:rPr>
          <w:lang w:val="fr-FR"/>
        </w:rPr>
        <w:t>eine de prison (voir paragraphe </w:t>
      </w:r>
      <w:r w:rsidR="004F7C05" w:rsidRPr="00A66252">
        <w:rPr>
          <w:lang w:val="fr-FR"/>
        </w:rPr>
        <w:fldChar w:fldCharType="begin"/>
      </w:r>
      <w:r w:rsidR="004F7C05" w:rsidRPr="00A66252">
        <w:rPr>
          <w:lang w:val="fr-FR"/>
        </w:rPr>
        <w:instrText xml:space="preserve"> REF DET \h </w:instrText>
      </w:r>
      <w:r w:rsidR="00E349B7" w:rsidRPr="00A66252">
        <w:rPr>
          <w:lang w:val="fr-FR"/>
        </w:rPr>
        <w:instrText xml:space="preserve"> \* MERGEFORMAT </w:instrText>
      </w:r>
      <w:r w:rsidR="004F7C05" w:rsidRPr="00A66252">
        <w:rPr>
          <w:lang w:val="fr-FR"/>
        </w:rPr>
      </w:r>
      <w:r w:rsidR="004F7C05" w:rsidRPr="00A66252">
        <w:rPr>
          <w:lang w:val="fr-FR"/>
        </w:rPr>
        <w:fldChar w:fldCharType="separate"/>
      </w:r>
      <w:r w:rsidR="00A66252" w:rsidRPr="00A66252">
        <w:rPr>
          <w:noProof/>
          <w:lang w:val="fr-FR"/>
        </w:rPr>
        <w:t>17</w:t>
      </w:r>
      <w:r w:rsidR="004F7C05" w:rsidRPr="00A66252">
        <w:rPr>
          <w:lang w:val="fr-FR"/>
        </w:rPr>
        <w:fldChar w:fldCharType="end"/>
      </w:r>
      <w:r w:rsidR="004F7C05" w:rsidRPr="00A66252">
        <w:rPr>
          <w:lang w:val="fr-FR"/>
        </w:rPr>
        <w:t>, ci-dessus), l</w:t>
      </w:r>
      <w:r w:rsidR="006E5806" w:rsidRPr="00A66252">
        <w:rPr>
          <w:lang w:val="fr-FR"/>
        </w:rPr>
        <w:t>e 16 août 2007, par un arrêté de renvoi, pris en application de l</w:t>
      </w:r>
      <w:r w:rsidR="00A66252" w:rsidRPr="00A66252">
        <w:rPr>
          <w:lang w:val="fr-FR"/>
        </w:rPr>
        <w:t>’</w:t>
      </w:r>
      <w:r w:rsidR="006E5806" w:rsidRPr="00A66252">
        <w:rPr>
          <w:lang w:val="fr-FR"/>
        </w:rPr>
        <w:t>article 20 de la loi sur les étrangers, le ministre de l</w:t>
      </w:r>
      <w:r w:rsidR="00A66252" w:rsidRPr="00A66252">
        <w:rPr>
          <w:lang w:val="fr-FR"/>
        </w:rPr>
        <w:t>’</w:t>
      </w:r>
      <w:r w:rsidR="006E5806" w:rsidRPr="00A66252">
        <w:rPr>
          <w:lang w:val="fr-FR"/>
        </w:rPr>
        <w:t>intérieur enjoignit au requérant de quitter le territoire et lui en interdit l</w:t>
      </w:r>
      <w:r w:rsidR="00A66252" w:rsidRPr="00A66252">
        <w:rPr>
          <w:lang w:val="fr-FR"/>
        </w:rPr>
        <w:t>’</w:t>
      </w:r>
      <w:r w:rsidR="006E5806" w:rsidRPr="00A66252">
        <w:rPr>
          <w:lang w:val="fr-FR"/>
        </w:rPr>
        <w:t>entrée sur le territoire belge pendant dix ans. Cette décision constatait les nombreux antécédents délictueux avec la circonstance que « le caractère lucratif du comportement délinquant de l</w:t>
      </w:r>
      <w:r w:rsidR="00A66252" w:rsidRPr="00A66252">
        <w:rPr>
          <w:lang w:val="fr-FR"/>
        </w:rPr>
        <w:t>’</w:t>
      </w:r>
      <w:r w:rsidR="006E5806" w:rsidRPr="00A66252">
        <w:rPr>
          <w:lang w:val="fr-FR"/>
        </w:rPr>
        <w:t>intéressé démontre le risque grave et actuel de nouvelle atteinte à l</w:t>
      </w:r>
      <w:r w:rsidR="00A66252" w:rsidRPr="00A66252">
        <w:rPr>
          <w:lang w:val="fr-FR"/>
        </w:rPr>
        <w:t>’</w:t>
      </w:r>
      <w:r w:rsidR="006E5806" w:rsidRPr="00A66252">
        <w:rPr>
          <w:lang w:val="fr-FR"/>
        </w:rPr>
        <w:t>ordre public ».</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74</w:t>
      </w:r>
      <w:r w:rsidRPr="00A66252">
        <w:rPr>
          <w:lang w:val="fr-FR"/>
        </w:rPr>
        <w:fldChar w:fldCharType="end"/>
      </w:r>
      <w:r w:rsidRPr="00A66252">
        <w:rPr>
          <w:lang w:val="fr-FR"/>
        </w:rPr>
        <w:t>.  </w:t>
      </w:r>
      <w:r w:rsidR="006E5806" w:rsidRPr="00A66252">
        <w:rPr>
          <w:lang w:val="fr-FR"/>
        </w:rPr>
        <w:t>L</w:t>
      </w:r>
      <w:r w:rsidR="00A66252" w:rsidRPr="00A66252">
        <w:rPr>
          <w:lang w:val="fr-FR"/>
        </w:rPr>
        <w:t>’</w:t>
      </w:r>
      <w:r w:rsidR="006E5806" w:rsidRPr="00A66252">
        <w:rPr>
          <w:lang w:val="fr-FR"/>
        </w:rPr>
        <w:t>arrêté entra en vigueur à la date de la mise en liberté du requérant. Il n</w:t>
      </w:r>
      <w:r w:rsidR="00A66252" w:rsidRPr="00A66252">
        <w:rPr>
          <w:lang w:val="fr-FR"/>
        </w:rPr>
        <w:t>’</w:t>
      </w:r>
      <w:r w:rsidR="006E5806" w:rsidRPr="00A66252">
        <w:rPr>
          <w:lang w:val="fr-FR"/>
        </w:rPr>
        <w:t>y fut toutefois pas donné suite car le requérant était à c</w:t>
      </w:r>
      <w:r w:rsidR="001124A8" w:rsidRPr="00A66252">
        <w:rPr>
          <w:lang w:val="fr-FR"/>
        </w:rPr>
        <w:t>e moment en cours de traitement</w:t>
      </w:r>
      <w:r w:rsidR="006E5806" w:rsidRPr="00A66252">
        <w:rPr>
          <w:lang w:val="fr-FR"/>
        </w:rPr>
        <w:t>.</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75</w:t>
      </w:r>
      <w:r w:rsidRPr="00A66252">
        <w:rPr>
          <w:lang w:val="fr-FR"/>
        </w:rPr>
        <w:fldChar w:fldCharType="end"/>
      </w:r>
      <w:r w:rsidRPr="00A66252">
        <w:rPr>
          <w:lang w:val="fr-FR"/>
        </w:rPr>
        <w:t>.  </w:t>
      </w:r>
      <w:r w:rsidR="006E5806" w:rsidRPr="00A66252">
        <w:rPr>
          <w:lang w:val="fr-FR"/>
        </w:rPr>
        <w:t>Le requérant, hospitalisé, ne prit pas contact avec son avocat pour introduire un recours en annulation de l</w:t>
      </w:r>
      <w:r w:rsidR="00A66252" w:rsidRPr="00A66252">
        <w:rPr>
          <w:lang w:val="fr-FR"/>
        </w:rPr>
        <w:t>’</w:t>
      </w:r>
      <w:r w:rsidR="006E5806" w:rsidRPr="00A66252">
        <w:rPr>
          <w:lang w:val="fr-FR"/>
        </w:rPr>
        <w:t>arrêté ministériel mais l</w:t>
      </w:r>
      <w:r w:rsidR="00A66252" w:rsidRPr="00A66252">
        <w:rPr>
          <w:lang w:val="fr-FR"/>
        </w:rPr>
        <w:t>’</w:t>
      </w:r>
      <w:r w:rsidR="006E5806" w:rsidRPr="00A66252">
        <w:rPr>
          <w:lang w:val="fr-FR"/>
        </w:rPr>
        <w:t>avocat prit l</w:t>
      </w:r>
      <w:r w:rsidR="00A66252" w:rsidRPr="00A66252">
        <w:rPr>
          <w:lang w:val="fr-FR"/>
        </w:rPr>
        <w:t>’</w:t>
      </w:r>
      <w:r w:rsidR="006E5806" w:rsidRPr="00A66252">
        <w:rPr>
          <w:lang w:val="fr-FR"/>
        </w:rPr>
        <w:t>initiative d</w:t>
      </w:r>
      <w:r w:rsidR="00A66252" w:rsidRPr="00A66252">
        <w:rPr>
          <w:lang w:val="fr-FR"/>
        </w:rPr>
        <w:t>’</w:t>
      </w:r>
      <w:r w:rsidR="006E5806" w:rsidRPr="00A66252">
        <w:rPr>
          <w:lang w:val="fr-FR"/>
        </w:rPr>
        <w:t>un tel recours le 15 novembre 2007.</w:t>
      </w:r>
      <w:r w:rsidRPr="00A66252">
        <w:rPr>
          <w:lang w:val="fr-FR"/>
        </w:rPr>
        <w:t>  </w:t>
      </w:r>
      <w:r w:rsidR="006E5806" w:rsidRPr="00A66252">
        <w:rPr>
          <w:lang w:val="fr-FR"/>
        </w:rPr>
        <w:t>Par un arrêt du 27 février 2008, le recours fut rejeté par le CCE pour tardiveté.</w:t>
      </w:r>
    </w:p>
    <w:p w:rsidR="006E5806" w:rsidRPr="00A66252" w:rsidRDefault="001124A8"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76</w:t>
      </w:r>
      <w:r w:rsidRPr="00A66252">
        <w:rPr>
          <w:lang w:val="fr-FR"/>
        </w:rPr>
        <w:fldChar w:fldCharType="end"/>
      </w:r>
      <w:r w:rsidRPr="00A66252">
        <w:rPr>
          <w:lang w:val="fr-FR"/>
        </w:rPr>
        <w:t>.  </w:t>
      </w:r>
      <w:r w:rsidR="006E5806" w:rsidRPr="00A66252">
        <w:rPr>
          <w:lang w:val="fr-FR"/>
        </w:rPr>
        <w:t>Entre-temps, le requérant étant sur le point d</w:t>
      </w:r>
      <w:r w:rsidR="00A66252" w:rsidRPr="00A66252">
        <w:rPr>
          <w:lang w:val="fr-FR"/>
        </w:rPr>
        <w:t>’</w:t>
      </w:r>
      <w:r w:rsidR="006E5806" w:rsidRPr="00A66252">
        <w:rPr>
          <w:lang w:val="fr-FR"/>
        </w:rPr>
        <w:t>achever de purger la peine d</w:t>
      </w:r>
      <w:r w:rsidR="00A66252" w:rsidRPr="00A66252">
        <w:rPr>
          <w:lang w:val="fr-FR"/>
        </w:rPr>
        <w:t>’</w:t>
      </w:r>
      <w:r w:rsidR="006E5806" w:rsidRPr="00A66252">
        <w:rPr>
          <w:lang w:val="fr-FR"/>
        </w:rPr>
        <w:t>emprisonnement à laquelle il avait été condamné en 2005, il fut transféré, en vue de l</w:t>
      </w:r>
      <w:r w:rsidR="00A66252" w:rsidRPr="00A66252">
        <w:rPr>
          <w:lang w:val="fr-FR"/>
        </w:rPr>
        <w:t>’</w:t>
      </w:r>
      <w:r w:rsidR="006E5806" w:rsidRPr="00A66252">
        <w:rPr>
          <w:lang w:val="fr-FR"/>
        </w:rPr>
        <w:t>exécution de l</w:t>
      </w:r>
      <w:r w:rsidR="00A66252" w:rsidRPr="00A66252">
        <w:rPr>
          <w:lang w:val="fr-FR"/>
        </w:rPr>
        <w:t>’</w:t>
      </w:r>
      <w:r w:rsidR="006E5806" w:rsidRPr="00A66252">
        <w:rPr>
          <w:lang w:val="fr-FR"/>
        </w:rPr>
        <w:t>arrêté ministériel de renvoi, à la prison de Bruges le 14 août 2007 où il resta jusqu</w:t>
      </w:r>
      <w:r w:rsidR="00A66252" w:rsidRPr="00A66252">
        <w:rPr>
          <w:lang w:val="fr-FR"/>
        </w:rPr>
        <w:t>’</w:t>
      </w:r>
      <w:r w:rsidR="006E5806" w:rsidRPr="00A66252">
        <w:rPr>
          <w:lang w:val="fr-FR"/>
        </w:rPr>
        <w:t>au 27 mars 2010, date à laquelle il fut transféré à la prison de Merksplas.</w:t>
      </w:r>
    </w:p>
    <w:p w:rsidR="006E5806" w:rsidRPr="00A66252" w:rsidRDefault="00483351"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77</w:t>
      </w:r>
      <w:r w:rsidRPr="00A66252">
        <w:rPr>
          <w:lang w:val="fr-FR"/>
        </w:rPr>
        <w:fldChar w:fldCharType="end"/>
      </w:r>
      <w:r w:rsidRPr="00A66252">
        <w:rPr>
          <w:lang w:val="fr-FR"/>
        </w:rPr>
        <w:t>.  Pendant le séjour du requérant au sein de l</w:t>
      </w:r>
      <w:r w:rsidR="00A66252" w:rsidRPr="00A66252">
        <w:rPr>
          <w:lang w:val="fr-FR"/>
        </w:rPr>
        <w:t>’</w:t>
      </w:r>
      <w:r w:rsidRPr="00A66252">
        <w:rPr>
          <w:lang w:val="fr-FR"/>
        </w:rPr>
        <w:t xml:space="preserve">établissement pénitentiaire de Bruges, le requérant reçut </w:t>
      </w:r>
      <w:r w:rsidR="00940DBB" w:rsidRPr="00A66252">
        <w:rPr>
          <w:lang w:val="fr-FR"/>
        </w:rPr>
        <w:t>des</w:t>
      </w:r>
      <w:r w:rsidRPr="00A66252">
        <w:rPr>
          <w:lang w:val="fr-FR"/>
        </w:rPr>
        <w:t xml:space="preserve"> visite</w:t>
      </w:r>
      <w:r w:rsidR="00940DBB" w:rsidRPr="00A66252">
        <w:rPr>
          <w:lang w:val="fr-FR"/>
        </w:rPr>
        <w:t>s</w:t>
      </w:r>
      <w:r w:rsidRPr="00A66252">
        <w:rPr>
          <w:lang w:val="fr-FR"/>
        </w:rPr>
        <w:t xml:space="preserve"> quasiment quotidienne</w:t>
      </w:r>
      <w:r w:rsidR="00940DBB" w:rsidRPr="00A66252">
        <w:rPr>
          <w:lang w:val="fr-FR"/>
        </w:rPr>
        <w:t>s</w:t>
      </w:r>
      <w:r w:rsidRPr="00A66252">
        <w:rPr>
          <w:lang w:val="fr-FR"/>
        </w:rPr>
        <w:t xml:space="preserve"> de son épouse et/ou de ses enfants. L</w:t>
      </w:r>
      <w:r w:rsidR="00A66252" w:rsidRPr="00A66252">
        <w:rPr>
          <w:lang w:val="fr-FR"/>
        </w:rPr>
        <w:t>’</w:t>
      </w:r>
      <w:r w:rsidRPr="00A66252">
        <w:rPr>
          <w:lang w:val="fr-FR"/>
        </w:rPr>
        <w:t>établissement pénitentiaire de Merksplas, vers lequel il fut ensuite transfér</w:t>
      </w:r>
      <w:r w:rsidR="00B32D6C" w:rsidRPr="00A66252">
        <w:rPr>
          <w:lang w:val="fr-FR"/>
        </w:rPr>
        <w:t>é et où il séjourna jusqu</w:t>
      </w:r>
      <w:r w:rsidR="00A66252" w:rsidRPr="00A66252">
        <w:rPr>
          <w:lang w:val="fr-FR"/>
        </w:rPr>
        <w:t>’</w:t>
      </w:r>
      <w:r w:rsidR="00B32D6C" w:rsidRPr="00A66252">
        <w:rPr>
          <w:lang w:val="fr-FR"/>
        </w:rPr>
        <w:t>au 11 </w:t>
      </w:r>
      <w:r w:rsidRPr="00A66252">
        <w:rPr>
          <w:lang w:val="fr-FR"/>
        </w:rPr>
        <w:t>juillet 2010, informa le requérant qu</w:t>
      </w:r>
      <w:r w:rsidR="00A66252" w:rsidRPr="00A66252">
        <w:rPr>
          <w:lang w:val="fr-FR"/>
        </w:rPr>
        <w:t>’</w:t>
      </w:r>
      <w:r w:rsidRPr="00A66252">
        <w:rPr>
          <w:lang w:val="fr-FR"/>
        </w:rPr>
        <w:t>il ne disposait pas du décompte des visites qu</w:t>
      </w:r>
      <w:r w:rsidR="00A66252" w:rsidRPr="00A66252">
        <w:rPr>
          <w:lang w:val="fr-FR"/>
        </w:rPr>
        <w:t>’</w:t>
      </w:r>
      <w:r w:rsidRPr="00A66252">
        <w:rPr>
          <w:lang w:val="fr-FR"/>
        </w:rPr>
        <w:t>il avait reçues.</w:t>
      </w:r>
    </w:p>
    <w:p w:rsidR="006E5806" w:rsidRPr="00A66252" w:rsidRDefault="00276F84" w:rsidP="00A66252">
      <w:pPr>
        <w:pStyle w:val="ECHRHeading3"/>
        <w:rPr>
          <w:lang w:val="fr-FR"/>
        </w:rPr>
      </w:pPr>
      <w:r w:rsidRPr="00A66252">
        <w:rPr>
          <w:lang w:val="fr-FR"/>
        </w:rPr>
        <w:t>3.  </w:t>
      </w:r>
      <w:r w:rsidR="006E5806" w:rsidRPr="00A66252">
        <w:rPr>
          <w:lang w:val="fr-FR"/>
        </w:rPr>
        <w:t>Ordres de quitter le territoire à la suite du rejet de régularisation</w:t>
      </w:r>
    </w:p>
    <w:bookmarkStart w:id="20" w:name="OQT0710"/>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78</w:t>
      </w:r>
      <w:r w:rsidRPr="00A66252">
        <w:rPr>
          <w:lang w:val="fr-FR"/>
        </w:rPr>
        <w:fldChar w:fldCharType="end"/>
      </w:r>
      <w:bookmarkEnd w:id="20"/>
      <w:r w:rsidRPr="00A66252">
        <w:rPr>
          <w:lang w:val="fr-FR"/>
        </w:rPr>
        <w:t>.  </w:t>
      </w:r>
      <w:r w:rsidR="006E5806" w:rsidRPr="00A66252">
        <w:rPr>
          <w:lang w:val="fr-FR"/>
        </w:rPr>
        <w:t>Parallèlement à la décision de l</w:t>
      </w:r>
      <w:r w:rsidR="00A66252" w:rsidRPr="00A66252">
        <w:rPr>
          <w:lang w:val="fr-FR"/>
        </w:rPr>
        <w:t>’</w:t>
      </w:r>
      <w:r w:rsidR="006E5806" w:rsidRPr="00A66252">
        <w:rPr>
          <w:lang w:val="fr-FR"/>
        </w:rPr>
        <w:t>OE du 7 juillet 2010 rejetant sa demande de régularisation pour circonstances exceptionnelles (voir paragraphe</w:t>
      </w:r>
      <w:r w:rsidR="00327FD2" w:rsidRPr="00A66252">
        <w:rPr>
          <w:lang w:val="fr-FR"/>
        </w:rPr>
        <w:t xml:space="preserve"> </w:t>
      </w:r>
      <w:r w:rsidR="00327FD2" w:rsidRPr="00A66252">
        <w:rPr>
          <w:lang w:val="fr-FR"/>
        </w:rPr>
        <w:fldChar w:fldCharType="begin"/>
      </w:r>
      <w:r w:rsidR="00327FD2" w:rsidRPr="00A66252">
        <w:rPr>
          <w:lang w:val="fr-FR"/>
        </w:rPr>
        <w:instrText xml:space="preserve"> REF OE9TER3 \h </w:instrText>
      </w:r>
      <w:r w:rsidR="00327FD2" w:rsidRPr="00A66252">
        <w:rPr>
          <w:lang w:val="fr-FR"/>
        </w:rPr>
      </w:r>
      <w:r w:rsidR="00327FD2" w:rsidRPr="00A66252">
        <w:rPr>
          <w:lang w:val="fr-FR"/>
        </w:rPr>
        <w:fldChar w:fldCharType="separate"/>
      </w:r>
      <w:r w:rsidR="00A66252" w:rsidRPr="00A66252">
        <w:rPr>
          <w:noProof/>
          <w:lang w:val="fr-FR"/>
        </w:rPr>
        <w:t>29</w:t>
      </w:r>
      <w:r w:rsidR="00327FD2" w:rsidRPr="00A66252">
        <w:rPr>
          <w:lang w:val="fr-FR"/>
        </w:rPr>
        <w:fldChar w:fldCharType="end"/>
      </w:r>
      <w:r w:rsidR="006E5806" w:rsidRPr="00A66252">
        <w:rPr>
          <w:lang w:val="fr-FR"/>
        </w:rPr>
        <w:t>, ci-dessus), l</w:t>
      </w:r>
      <w:r w:rsidR="00A66252" w:rsidRPr="00A66252">
        <w:rPr>
          <w:lang w:val="fr-FR"/>
        </w:rPr>
        <w:t>’</w:t>
      </w:r>
      <w:r w:rsidR="006E5806" w:rsidRPr="00A66252">
        <w:rPr>
          <w:lang w:val="fr-FR"/>
        </w:rPr>
        <w:t>OE délivra, le 7 juillet 2010, un ordre de quitter le territoire assorti d</w:t>
      </w:r>
      <w:r w:rsidR="00A66252" w:rsidRPr="00A66252">
        <w:rPr>
          <w:lang w:val="fr-FR"/>
        </w:rPr>
        <w:t>’</w:t>
      </w:r>
      <w:r w:rsidR="006E5806" w:rsidRPr="00A66252">
        <w:rPr>
          <w:lang w:val="fr-FR"/>
        </w:rPr>
        <w:t xml:space="preserve">une </w:t>
      </w:r>
      <w:r w:rsidR="003113F5" w:rsidRPr="00A66252">
        <w:rPr>
          <w:lang w:val="fr-FR"/>
        </w:rPr>
        <w:t xml:space="preserve">mesure de privation de liberté. </w:t>
      </w:r>
      <w:r w:rsidR="006E5806" w:rsidRPr="00A66252">
        <w:rPr>
          <w:lang w:val="fr-FR"/>
        </w:rPr>
        <w:t xml:space="preserve">Cet ordre </w:t>
      </w:r>
      <w:r w:rsidR="00940DBB" w:rsidRPr="00A66252">
        <w:rPr>
          <w:lang w:val="fr-FR"/>
        </w:rPr>
        <w:t>en vertu</w:t>
      </w:r>
      <w:r w:rsidR="00FA712E" w:rsidRPr="00A66252">
        <w:rPr>
          <w:lang w:val="fr-FR"/>
        </w:rPr>
        <w:t xml:space="preserve"> de l</w:t>
      </w:r>
      <w:r w:rsidR="00A66252" w:rsidRPr="00A66252">
        <w:rPr>
          <w:lang w:val="fr-FR"/>
        </w:rPr>
        <w:t>’</w:t>
      </w:r>
      <w:r w:rsidR="00FA712E" w:rsidRPr="00A66252">
        <w:rPr>
          <w:lang w:val="fr-FR"/>
        </w:rPr>
        <w:t>article 7 alinéa</w:t>
      </w:r>
      <w:r w:rsidR="003113F5" w:rsidRPr="00A66252">
        <w:rPr>
          <w:lang w:val="fr-FR"/>
        </w:rPr>
        <w:t xml:space="preserve"> 1</w:t>
      </w:r>
      <w:r w:rsidR="003113F5" w:rsidRPr="00A66252">
        <w:rPr>
          <w:vertAlign w:val="superscript"/>
          <w:lang w:val="fr-FR"/>
        </w:rPr>
        <w:t>er</w:t>
      </w:r>
      <w:r w:rsidR="00472AB3" w:rsidRPr="00A66252">
        <w:rPr>
          <w:lang w:val="fr-FR"/>
        </w:rPr>
        <w:t>,</w:t>
      </w:r>
      <w:r w:rsidR="003113F5" w:rsidRPr="00A66252">
        <w:rPr>
          <w:lang w:val="fr-FR"/>
        </w:rPr>
        <w:t xml:space="preserve"> 1</w:t>
      </w:r>
      <w:r w:rsidR="00472AB3" w:rsidRPr="00A66252">
        <w:rPr>
          <w:lang w:val="fr-FR"/>
        </w:rPr>
        <w:t>,</w:t>
      </w:r>
      <w:r w:rsidR="003113F5" w:rsidRPr="00A66252">
        <w:rPr>
          <w:lang w:val="fr-FR"/>
        </w:rPr>
        <w:t xml:space="preserve"> de la loi sur les étrangers, </w:t>
      </w:r>
      <w:r w:rsidR="006E5806" w:rsidRPr="00A66252">
        <w:rPr>
          <w:lang w:val="fr-FR"/>
        </w:rPr>
        <w:t xml:space="preserve">fut signifié </w:t>
      </w:r>
      <w:r w:rsidR="003113F5" w:rsidRPr="00A66252">
        <w:rPr>
          <w:lang w:val="fr-FR"/>
        </w:rPr>
        <w:t xml:space="preserve">au requérant </w:t>
      </w:r>
      <w:r w:rsidR="006E5806" w:rsidRPr="00A66252">
        <w:rPr>
          <w:lang w:val="fr-FR"/>
        </w:rPr>
        <w:t>le 11 juillet 2010.</w:t>
      </w:r>
    </w:p>
    <w:bookmarkStart w:id="21" w:name="CENTFERMERKS"/>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79</w:t>
      </w:r>
      <w:r w:rsidRPr="00A66252">
        <w:rPr>
          <w:lang w:val="fr-FR"/>
        </w:rPr>
        <w:fldChar w:fldCharType="end"/>
      </w:r>
      <w:bookmarkEnd w:id="21"/>
      <w:r w:rsidRPr="00A66252">
        <w:rPr>
          <w:lang w:val="fr-FR"/>
        </w:rPr>
        <w:t>.  </w:t>
      </w:r>
      <w:r w:rsidR="006E5806" w:rsidRPr="00A66252">
        <w:rPr>
          <w:lang w:val="fr-FR"/>
        </w:rPr>
        <w:t>Il fut décidé, ce même 7 juillet 2010, de procéder au transfert du requér</w:t>
      </w:r>
      <w:r w:rsidR="004F7C05" w:rsidRPr="00A66252">
        <w:rPr>
          <w:lang w:val="fr-FR"/>
        </w:rPr>
        <w:t>ant, le 13</w:t>
      </w:r>
      <w:r w:rsidR="006E5806" w:rsidRPr="00A66252">
        <w:rPr>
          <w:lang w:val="fr-FR"/>
        </w:rPr>
        <w:t xml:space="preserve"> juillet</w:t>
      </w:r>
      <w:r w:rsidR="00FA712E" w:rsidRPr="00A66252">
        <w:rPr>
          <w:lang w:val="fr-FR"/>
        </w:rPr>
        <w:t xml:space="preserve"> 2010</w:t>
      </w:r>
      <w:r w:rsidR="006E5806" w:rsidRPr="00A66252">
        <w:rPr>
          <w:lang w:val="fr-FR"/>
        </w:rPr>
        <w:t>, au centre fermé pour illégaux de Merksplas en vue de son éloignement vers la Géorgie.</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80</w:t>
      </w:r>
      <w:r w:rsidRPr="00A66252">
        <w:rPr>
          <w:lang w:val="fr-FR"/>
        </w:rPr>
        <w:fldChar w:fldCharType="end"/>
      </w:r>
      <w:r w:rsidRPr="00A66252">
        <w:rPr>
          <w:lang w:val="fr-FR"/>
        </w:rPr>
        <w:t>.  </w:t>
      </w:r>
      <w:r w:rsidR="006E5806" w:rsidRPr="00A66252">
        <w:rPr>
          <w:lang w:val="fr-FR"/>
        </w:rPr>
        <w:t>Le 16 juillet 2010, l</w:t>
      </w:r>
      <w:r w:rsidR="00A66252" w:rsidRPr="00A66252">
        <w:rPr>
          <w:lang w:val="fr-FR"/>
        </w:rPr>
        <w:t>’</w:t>
      </w:r>
      <w:r w:rsidR="006E5806" w:rsidRPr="00A66252">
        <w:rPr>
          <w:lang w:val="fr-FR"/>
        </w:rPr>
        <w:t>ambassade de Géorgie à Bruxelles émit un document de voyage valable jusqu</w:t>
      </w:r>
      <w:r w:rsidR="00A66252" w:rsidRPr="00A66252">
        <w:rPr>
          <w:lang w:val="fr-FR"/>
        </w:rPr>
        <w:t>’</w:t>
      </w:r>
      <w:r w:rsidR="006E5806" w:rsidRPr="00A66252">
        <w:rPr>
          <w:lang w:val="fr-FR"/>
        </w:rPr>
        <w:t>au 16 août 2010.</w:t>
      </w:r>
    </w:p>
    <w:p w:rsidR="00A66252" w:rsidRPr="00A66252" w:rsidRDefault="00483351"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81</w:t>
      </w:r>
      <w:r w:rsidRPr="00A66252">
        <w:rPr>
          <w:lang w:val="fr-FR"/>
        </w:rPr>
        <w:fldChar w:fldCharType="end"/>
      </w:r>
      <w:r w:rsidRPr="00A66252">
        <w:rPr>
          <w:lang w:val="fr-FR"/>
        </w:rPr>
        <w:t>.  </w:t>
      </w:r>
      <w:r w:rsidR="006E5806" w:rsidRPr="00A66252">
        <w:rPr>
          <w:lang w:val="fr-FR"/>
        </w:rPr>
        <w:t xml:space="preserve">Le même jour, </w:t>
      </w:r>
      <w:r w:rsidR="00754567" w:rsidRPr="00A66252">
        <w:rPr>
          <w:lang w:val="fr-FR"/>
        </w:rPr>
        <w:t>le requérant</w:t>
      </w:r>
      <w:r w:rsidR="006E5806" w:rsidRPr="00A66252">
        <w:rPr>
          <w:lang w:val="fr-FR"/>
        </w:rPr>
        <w:t xml:space="preserve"> introduisit une demande de suspension ordinaire et un recours en annulation spécialement dirigés contre l</w:t>
      </w:r>
      <w:r w:rsidR="00A66252" w:rsidRPr="00A66252">
        <w:rPr>
          <w:lang w:val="fr-FR"/>
        </w:rPr>
        <w:t>’</w:t>
      </w:r>
      <w:r w:rsidR="006E5806" w:rsidRPr="00A66252">
        <w:rPr>
          <w:lang w:val="fr-FR"/>
        </w:rPr>
        <w:t>ordre de quitter le territoir</w:t>
      </w:r>
      <w:r w:rsidR="00DE04D3" w:rsidRPr="00A66252">
        <w:rPr>
          <w:lang w:val="fr-FR"/>
        </w:rPr>
        <w:t>e précité du 7 juillet 2010</w:t>
      </w:r>
      <w:r w:rsidR="006E5806" w:rsidRPr="00A66252">
        <w:rPr>
          <w:lang w:val="fr-FR"/>
        </w:rPr>
        <w:t>.</w:t>
      </w:r>
    </w:p>
    <w:bookmarkStart w:id="22" w:name="LIBERATION"/>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82</w:t>
      </w:r>
      <w:r w:rsidRPr="00A66252">
        <w:rPr>
          <w:lang w:val="fr-FR"/>
        </w:rPr>
        <w:fldChar w:fldCharType="end"/>
      </w:r>
      <w:bookmarkEnd w:id="22"/>
      <w:r w:rsidRPr="00A66252">
        <w:rPr>
          <w:lang w:val="fr-FR"/>
        </w:rPr>
        <w:t>.  </w:t>
      </w:r>
      <w:r w:rsidR="006E5806" w:rsidRPr="00A66252">
        <w:rPr>
          <w:lang w:val="fr-FR"/>
        </w:rPr>
        <w:t>Deux jours après l</w:t>
      </w:r>
      <w:r w:rsidR="00A66252" w:rsidRPr="00A66252">
        <w:rPr>
          <w:lang w:val="fr-FR"/>
        </w:rPr>
        <w:t>’</w:t>
      </w:r>
      <w:r w:rsidR="006E5806" w:rsidRPr="00A66252">
        <w:rPr>
          <w:lang w:val="fr-FR"/>
        </w:rPr>
        <w:t>indication d</w:t>
      </w:r>
      <w:r w:rsidR="00A66252" w:rsidRPr="00A66252">
        <w:rPr>
          <w:lang w:val="fr-FR"/>
        </w:rPr>
        <w:t>’</w:t>
      </w:r>
      <w:r w:rsidR="006E5806" w:rsidRPr="00A66252">
        <w:rPr>
          <w:lang w:val="fr-FR"/>
        </w:rPr>
        <w:t xml:space="preserve">une mesure provisoire par la Cour (voir paragraphe </w:t>
      </w:r>
      <w:r w:rsidR="005C2983" w:rsidRPr="00A66252">
        <w:rPr>
          <w:lang w:val="fr-FR"/>
        </w:rPr>
        <w:fldChar w:fldCharType="begin"/>
      </w:r>
      <w:r w:rsidR="005C2983" w:rsidRPr="00A66252">
        <w:rPr>
          <w:lang w:val="fr-FR"/>
        </w:rPr>
        <w:instrText xml:space="preserve"> REF R39 \h </w:instrText>
      </w:r>
      <w:r w:rsidR="0080142D" w:rsidRPr="00A66252">
        <w:rPr>
          <w:lang w:val="fr-FR"/>
        </w:rPr>
        <w:instrText xml:space="preserve"> \* MERGEFORMAT </w:instrText>
      </w:r>
      <w:r w:rsidR="005C2983" w:rsidRPr="00A66252">
        <w:rPr>
          <w:lang w:val="fr-FR"/>
        </w:rPr>
      </w:r>
      <w:r w:rsidR="005C2983" w:rsidRPr="00A66252">
        <w:rPr>
          <w:lang w:val="fr-FR"/>
        </w:rPr>
        <w:fldChar w:fldCharType="separate"/>
      </w:r>
      <w:r w:rsidR="00A66252" w:rsidRPr="00A66252">
        <w:rPr>
          <w:noProof/>
          <w:lang w:val="fr-FR"/>
        </w:rPr>
        <w:t>87</w:t>
      </w:r>
      <w:r w:rsidR="005C2983" w:rsidRPr="00A66252">
        <w:rPr>
          <w:lang w:val="fr-FR"/>
        </w:rPr>
        <w:fldChar w:fldCharType="end"/>
      </w:r>
      <w:r w:rsidR="006E5806" w:rsidRPr="00A66252">
        <w:rPr>
          <w:lang w:val="fr-FR"/>
        </w:rPr>
        <w:t>, ci-dessous), le 30 juillet 2010, des instructions de mise en liberté du requérant furent données et un délai courant jusqu</w:t>
      </w:r>
      <w:r w:rsidR="00A66252" w:rsidRPr="00A66252">
        <w:rPr>
          <w:lang w:val="fr-FR"/>
        </w:rPr>
        <w:t>’</w:t>
      </w:r>
      <w:r w:rsidR="006E5806" w:rsidRPr="00A66252">
        <w:rPr>
          <w:lang w:val="fr-FR"/>
        </w:rPr>
        <w:t>au 30 août 2010 fut laissé pour lui permettre de quitter volontairement le territoire.</w:t>
      </w:r>
    </w:p>
    <w:p w:rsidR="00A66252"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83</w:t>
      </w:r>
      <w:r w:rsidRPr="00A66252">
        <w:rPr>
          <w:lang w:val="fr-FR"/>
        </w:rPr>
        <w:fldChar w:fldCharType="end"/>
      </w:r>
      <w:r w:rsidRPr="00A66252">
        <w:rPr>
          <w:lang w:val="fr-FR"/>
        </w:rPr>
        <w:t>.  </w:t>
      </w:r>
      <w:r w:rsidR="006E5806" w:rsidRPr="00A66252">
        <w:rPr>
          <w:lang w:val="fr-FR"/>
        </w:rPr>
        <w:t>Par courrier du 30 août 2010, le conseil du requérant sollicita la prolongation de l</w:t>
      </w:r>
      <w:r w:rsidR="00A66252" w:rsidRPr="00A66252">
        <w:rPr>
          <w:lang w:val="fr-FR"/>
        </w:rPr>
        <w:t>’</w:t>
      </w:r>
      <w:r w:rsidR="006E5806" w:rsidRPr="00A66252">
        <w:rPr>
          <w:lang w:val="fr-FR"/>
        </w:rPr>
        <w:t>ordre de quitter le territoire. Celui-ci fut une première fois prolongé jusqu</w:t>
      </w:r>
      <w:r w:rsidR="00A66252" w:rsidRPr="00A66252">
        <w:rPr>
          <w:lang w:val="fr-FR"/>
        </w:rPr>
        <w:t>’</w:t>
      </w:r>
      <w:r w:rsidR="006E5806" w:rsidRPr="00A66252">
        <w:rPr>
          <w:lang w:val="fr-FR"/>
        </w:rPr>
        <w:t>au 13 novembre 2010. Il le fut à nouveau à plusieurs reprises jusqu</w:t>
      </w:r>
      <w:r w:rsidR="00A66252" w:rsidRPr="00A66252">
        <w:rPr>
          <w:lang w:val="fr-FR"/>
        </w:rPr>
        <w:t>’</w:t>
      </w:r>
      <w:r w:rsidR="006E5806" w:rsidRPr="00A66252">
        <w:rPr>
          <w:lang w:val="fr-FR"/>
        </w:rPr>
        <w:t xml:space="preserve">au </w:t>
      </w:r>
      <w:r w:rsidR="004F7C05" w:rsidRPr="00A66252">
        <w:rPr>
          <w:lang w:val="fr-FR"/>
        </w:rPr>
        <w:t>19</w:t>
      </w:r>
      <w:r w:rsidR="006E5806" w:rsidRPr="00A66252">
        <w:rPr>
          <w:lang w:val="fr-FR"/>
        </w:rPr>
        <w:t xml:space="preserve"> février 2011.</w:t>
      </w:r>
    </w:p>
    <w:bookmarkStart w:id="23" w:name="OQT0212"/>
    <w:p w:rsidR="001072D3" w:rsidRPr="00A66252" w:rsidRDefault="001072D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84</w:t>
      </w:r>
      <w:r w:rsidRPr="00A66252">
        <w:rPr>
          <w:lang w:val="fr-FR"/>
        </w:rPr>
        <w:fldChar w:fldCharType="end"/>
      </w:r>
      <w:bookmarkEnd w:id="23"/>
      <w:r w:rsidRPr="00A66252">
        <w:rPr>
          <w:lang w:val="fr-FR"/>
        </w:rPr>
        <w:t>.  Le 18 février 2012, l</w:t>
      </w:r>
      <w:r w:rsidR="00A66252" w:rsidRPr="00A66252">
        <w:rPr>
          <w:lang w:val="fr-FR"/>
        </w:rPr>
        <w:t>’</w:t>
      </w:r>
      <w:r w:rsidRPr="00A66252">
        <w:rPr>
          <w:lang w:val="fr-FR"/>
        </w:rPr>
        <w:t>OE délivra un ordre de q</w:t>
      </w:r>
      <w:r w:rsidR="006D3D76" w:rsidRPr="00A66252">
        <w:rPr>
          <w:lang w:val="fr-FR"/>
        </w:rPr>
        <w:t>uitter le territoire « immédiat </w:t>
      </w:r>
      <w:r w:rsidRPr="00A66252">
        <w:rPr>
          <w:lang w:val="fr-FR"/>
        </w:rPr>
        <w:t>» en exécution de l</w:t>
      </w:r>
      <w:r w:rsidR="00A66252" w:rsidRPr="00A66252">
        <w:rPr>
          <w:lang w:val="fr-FR"/>
        </w:rPr>
        <w:t>’</w:t>
      </w:r>
      <w:r w:rsidRPr="00A66252">
        <w:rPr>
          <w:lang w:val="fr-FR"/>
        </w:rPr>
        <w:t>arrêté ministériel de renvoi du 16 août 2007.</w:t>
      </w:r>
    </w:p>
    <w:bookmarkStart w:id="24" w:name="CCEOQT12"/>
    <w:p w:rsidR="006E5806" w:rsidRPr="00A66252" w:rsidRDefault="001072D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85</w:t>
      </w:r>
      <w:r w:rsidRPr="00A66252">
        <w:rPr>
          <w:lang w:val="fr-FR"/>
        </w:rPr>
        <w:fldChar w:fldCharType="end"/>
      </w:r>
      <w:bookmarkEnd w:id="24"/>
      <w:r w:rsidRPr="00A66252">
        <w:rPr>
          <w:lang w:val="fr-FR"/>
        </w:rPr>
        <w:t>.  Le CCE rejeta les recours précités par un arrêt du 29 mai 2015 au motif que le requérant n</w:t>
      </w:r>
      <w:r w:rsidR="00A66252" w:rsidRPr="00A66252">
        <w:rPr>
          <w:lang w:val="fr-FR"/>
        </w:rPr>
        <w:t>’</w:t>
      </w:r>
      <w:r w:rsidRPr="00A66252">
        <w:rPr>
          <w:lang w:val="fr-FR"/>
        </w:rPr>
        <w:t>était pas présent ni représenté à l</w:t>
      </w:r>
      <w:r w:rsidR="00A66252" w:rsidRPr="00A66252">
        <w:rPr>
          <w:lang w:val="fr-FR"/>
        </w:rPr>
        <w:t>’</w:t>
      </w:r>
      <w:r w:rsidRPr="00A66252">
        <w:rPr>
          <w:lang w:val="fr-FR"/>
        </w:rPr>
        <w:t>audience</w:t>
      </w:r>
      <w:r w:rsidR="00FA712E" w:rsidRPr="00A66252">
        <w:rPr>
          <w:lang w:val="fr-FR"/>
        </w:rPr>
        <w:t>.</w:t>
      </w:r>
    </w:p>
    <w:p w:rsidR="006E5806" w:rsidRPr="00A66252" w:rsidRDefault="00276F84" w:rsidP="00A66252">
      <w:pPr>
        <w:pStyle w:val="ECHRHeading3"/>
        <w:rPr>
          <w:lang w:val="fr-FR"/>
        </w:rPr>
      </w:pPr>
      <w:r w:rsidRPr="00A66252">
        <w:rPr>
          <w:lang w:val="fr-FR"/>
        </w:rPr>
        <w:t>4.  </w:t>
      </w:r>
      <w:r w:rsidR="00206F7F" w:rsidRPr="00A66252">
        <w:rPr>
          <w:lang w:val="fr-FR"/>
        </w:rPr>
        <w:t>Indication d</w:t>
      </w:r>
      <w:r w:rsidR="00A66252" w:rsidRPr="00A66252">
        <w:rPr>
          <w:lang w:val="fr-FR"/>
        </w:rPr>
        <w:t>’</w:t>
      </w:r>
      <w:r w:rsidR="00206F7F" w:rsidRPr="00A66252">
        <w:rPr>
          <w:lang w:val="fr-FR"/>
        </w:rPr>
        <w:t xml:space="preserve">une mesure provisoire en application de </w:t>
      </w:r>
      <w:r w:rsidR="006E5806" w:rsidRPr="00A66252">
        <w:rPr>
          <w:lang w:val="fr-FR"/>
        </w:rPr>
        <w:t>l</w:t>
      </w:r>
      <w:r w:rsidR="00A66252" w:rsidRPr="00A66252">
        <w:rPr>
          <w:lang w:val="fr-FR"/>
        </w:rPr>
        <w:t>’</w:t>
      </w:r>
      <w:r w:rsidR="006E5806" w:rsidRPr="00A66252">
        <w:rPr>
          <w:lang w:val="fr-FR"/>
        </w:rPr>
        <w:t>article 39 du règlement de la Cour</w:t>
      </w:r>
    </w:p>
    <w:p w:rsidR="006E5806" w:rsidRPr="00A66252" w:rsidRDefault="001321E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86</w:t>
      </w:r>
      <w:r w:rsidRPr="00A66252">
        <w:rPr>
          <w:lang w:val="fr-FR"/>
        </w:rPr>
        <w:fldChar w:fldCharType="end"/>
      </w:r>
      <w:r w:rsidRPr="00A66252">
        <w:rPr>
          <w:lang w:val="fr-FR"/>
        </w:rPr>
        <w:t>.  </w:t>
      </w:r>
      <w:r w:rsidR="001072D3" w:rsidRPr="00A66252">
        <w:rPr>
          <w:lang w:val="fr-FR"/>
        </w:rPr>
        <w:t>Entre-temps, l</w:t>
      </w:r>
      <w:r w:rsidR="006E5806" w:rsidRPr="00A66252">
        <w:rPr>
          <w:lang w:val="fr-FR"/>
        </w:rPr>
        <w:t>e 23 juillet 2010, invoquant les articles 2, 3 et 8 de la Convention et se plaignant que, s</w:t>
      </w:r>
      <w:r w:rsidR="00A66252" w:rsidRPr="00A66252">
        <w:rPr>
          <w:lang w:val="fr-FR"/>
        </w:rPr>
        <w:t>’</w:t>
      </w:r>
      <w:r w:rsidR="006E5806" w:rsidRPr="00A66252">
        <w:rPr>
          <w:lang w:val="fr-FR"/>
        </w:rPr>
        <w:t>il était éloigné vers la Géorgie, il n</w:t>
      </w:r>
      <w:r w:rsidR="00A66252" w:rsidRPr="00A66252">
        <w:rPr>
          <w:lang w:val="fr-FR"/>
        </w:rPr>
        <w:t>’</w:t>
      </w:r>
      <w:r w:rsidR="006E5806" w:rsidRPr="00A66252">
        <w:rPr>
          <w:lang w:val="fr-FR"/>
        </w:rPr>
        <w:t>aurait plus accès aux soins de santé dont il avait besoin et que, vu son espérance de vie très courte, il décèderait dans des délais encore plus brefs et loin des siens, le requérant saisit la Cour d</w:t>
      </w:r>
      <w:r w:rsidR="00A66252" w:rsidRPr="00A66252">
        <w:rPr>
          <w:lang w:val="fr-FR"/>
        </w:rPr>
        <w:t>’</w:t>
      </w:r>
      <w:r w:rsidR="006E5806" w:rsidRPr="00A66252">
        <w:rPr>
          <w:lang w:val="fr-FR"/>
        </w:rPr>
        <w:t>une demande de mesures provisoires sur la base de l</w:t>
      </w:r>
      <w:r w:rsidR="00A66252" w:rsidRPr="00A66252">
        <w:rPr>
          <w:lang w:val="fr-FR"/>
        </w:rPr>
        <w:t>’</w:t>
      </w:r>
      <w:r w:rsidR="006E5806" w:rsidRPr="00A66252">
        <w:rPr>
          <w:lang w:val="fr-FR"/>
        </w:rPr>
        <w:t>article 39 de son règlement.</w:t>
      </w:r>
    </w:p>
    <w:bookmarkStart w:id="25" w:name="R39"/>
    <w:p w:rsidR="00276F84" w:rsidRPr="00A66252" w:rsidRDefault="001321E7"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87</w:t>
      </w:r>
      <w:r w:rsidRPr="00A66252">
        <w:rPr>
          <w:lang w:val="fr-FR"/>
        </w:rPr>
        <w:fldChar w:fldCharType="end"/>
      </w:r>
      <w:bookmarkEnd w:id="25"/>
      <w:r w:rsidRPr="00A66252">
        <w:rPr>
          <w:lang w:val="fr-FR"/>
        </w:rPr>
        <w:t>.  </w:t>
      </w:r>
      <w:r w:rsidR="006E5806" w:rsidRPr="00A66252">
        <w:rPr>
          <w:lang w:val="fr-FR"/>
        </w:rPr>
        <w:t>Le 28 juillet 2010, la Cour indiqua au gouvernement belge qu</w:t>
      </w:r>
      <w:r w:rsidR="00A66252" w:rsidRPr="00A66252">
        <w:rPr>
          <w:lang w:val="fr-FR"/>
        </w:rPr>
        <w:t>’</w:t>
      </w:r>
      <w:r w:rsidR="006E5806" w:rsidRPr="00A66252">
        <w:rPr>
          <w:lang w:val="fr-FR"/>
        </w:rPr>
        <w:t>il était souhaitable, dans l</w:t>
      </w:r>
      <w:r w:rsidR="00A66252" w:rsidRPr="00A66252">
        <w:rPr>
          <w:lang w:val="fr-FR"/>
        </w:rPr>
        <w:t>’</w:t>
      </w:r>
      <w:r w:rsidR="006E5806" w:rsidRPr="00A66252">
        <w:rPr>
          <w:lang w:val="fr-FR"/>
        </w:rPr>
        <w:t>intérêt des parties et du bon déroulement de la procédure devant la Cour, de suspendre, « jusqu</w:t>
      </w:r>
      <w:r w:rsidR="00A66252" w:rsidRPr="00A66252">
        <w:rPr>
          <w:lang w:val="fr-FR"/>
        </w:rPr>
        <w:t>’</w:t>
      </w:r>
      <w:r w:rsidR="006E5806" w:rsidRPr="00A66252">
        <w:rPr>
          <w:lang w:val="fr-FR"/>
        </w:rPr>
        <w:t>à l</w:t>
      </w:r>
      <w:r w:rsidR="00A66252" w:rsidRPr="00A66252">
        <w:rPr>
          <w:lang w:val="fr-FR"/>
        </w:rPr>
        <w:t>’</w:t>
      </w:r>
      <w:r w:rsidR="006E5806" w:rsidRPr="00A66252">
        <w:rPr>
          <w:lang w:val="fr-FR"/>
        </w:rPr>
        <w:t>issue de la procédure pendante devant le CCE », l</w:t>
      </w:r>
      <w:r w:rsidR="00A66252" w:rsidRPr="00A66252">
        <w:rPr>
          <w:lang w:val="fr-FR"/>
        </w:rPr>
        <w:t>’</w:t>
      </w:r>
      <w:r w:rsidR="006E5806" w:rsidRPr="00A66252">
        <w:rPr>
          <w:lang w:val="fr-FR"/>
        </w:rPr>
        <w:t>ordre de quitter le terri</w:t>
      </w:r>
      <w:r w:rsidRPr="00A66252">
        <w:rPr>
          <w:lang w:val="fr-FR"/>
        </w:rPr>
        <w:t>toire délivré au requérant le 7 </w:t>
      </w:r>
      <w:r w:rsidR="006E5806" w:rsidRPr="00A66252">
        <w:rPr>
          <w:lang w:val="fr-FR"/>
        </w:rPr>
        <w:t>juillet 2010.</w:t>
      </w:r>
    </w:p>
    <w:p w:rsidR="00A66252" w:rsidRPr="00A66252" w:rsidRDefault="00873DCE" w:rsidP="00A66252">
      <w:pPr>
        <w:pStyle w:val="ECHRHeading2"/>
        <w:rPr>
          <w:lang w:val="fr-FR"/>
        </w:rPr>
      </w:pPr>
      <w:r w:rsidRPr="00A66252">
        <w:rPr>
          <w:lang w:val="fr-FR"/>
        </w:rPr>
        <w:t>G</w:t>
      </w:r>
      <w:r w:rsidR="00276F84" w:rsidRPr="00A66252">
        <w:rPr>
          <w:lang w:val="fr-FR"/>
        </w:rPr>
        <w:t>.  </w:t>
      </w:r>
      <w:r w:rsidR="00D93679" w:rsidRPr="00A66252">
        <w:rPr>
          <w:lang w:val="fr-FR"/>
        </w:rPr>
        <w:t>Autres faits</w:t>
      </w:r>
    </w:p>
    <w:p w:rsidR="00A66252" w:rsidRPr="00A66252" w:rsidRDefault="00D9367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88</w:t>
      </w:r>
      <w:r w:rsidRPr="00A66252">
        <w:rPr>
          <w:lang w:val="fr-FR"/>
        </w:rPr>
        <w:fldChar w:fldCharType="end"/>
      </w:r>
      <w:r w:rsidRPr="00A66252">
        <w:rPr>
          <w:lang w:val="fr-FR"/>
        </w:rPr>
        <w:t>.  Le requérant fut interpellé à plusieur</w:t>
      </w:r>
      <w:r w:rsidR="006D3D76" w:rsidRPr="00A66252">
        <w:rPr>
          <w:lang w:val="fr-FR"/>
        </w:rPr>
        <w:t>s reprises, au cours des années </w:t>
      </w:r>
      <w:r w:rsidRPr="00A66252">
        <w:rPr>
          <w:lang w:val="fr-FR"/>
        </w:rPr>
        <w:t>2012 à 2015, pour faits de vol à l</w:t>
      </w:r>
      <w:r w:rsidR="00A66252" w:rsidRPr="00A66252">
        <w:rPr>
          <w:lang w:val="fr-FR"/>
        </w:rPr>
        <w:t>’</w:t>
      </w:r>
      <w:r w:rsidRPr="00A66252">
        <w:rPr>
          <w:lang w:val="fr-FR"/>
        </w:rPr>
        <w:t>étalage et en magasin.</w:t>
      </w:r>
    </w:p>
    <w:p w:rsidR="00D93679" w:rsidRPr="00A66252" w:rsidRDefault="00D9367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89</w:t>
      </w:r>
      <w:r w:rsidRPr="00A66252">
        <w:rPr>
          <w:lang w:val="fr-FR"/>
        </w:rPr>
        <w:fldChar w:fldCharType="end"/>
      </w:r>
      <w:r w:rsidRPr="00A66252">
        <w:rPr>
          <w:lang w:val="fr-FR"/>
        </w:rPr>
        <w:t>.  En outre, en juillet 2013, l</w:t>
      </w:r>
      <w:r w:rsidR="00A66252" w:rsidRPr="00A66252">
        <w:rPr>
          <w:lang w:val="fr-FR"/>
        </w:rPr>
        <w:t>’</w:t>
      </w:r>
      <w:r w:rsidRPr="00A66252">
        <w:rPr>
          <w:lang w:val="fr-FR"/>
        </w:rPr>
        <w:t>OE fut contacté par le centre de coopération policière et douanière du Luxembourg qui signala que le requérant était déten</w:t>
      </w:r>
      <w:r w:rsidR="006D3D76" w:rsidRPr="00A66252">
        <w:rPr>
          <w:lang w:val="fr-FR"/>
        </w:rPr>
        <w:t>u au Grand-Duché du Luxembourg.</w:t>
      </w:r>
    </w:p>
    <w:p w:rsidR="00D93679" w:rsidRPr="00A66252" w:rsidRDefault="00D9367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90</w:t>
      </w:r>
      <w:r w:rsidRPr="00A66252">
        <w:rPr>
          <w:lang w:val="fr-FR"/>
        </w:rPr>
        <w:fldChar w:fldCharType="end"/>
      </w:r>
      <w:r w:rsidRPr="00A66252">
        <w:rPr>
          <w:lang w:val="fr-FR"/>
        </w:rPr>
        <w:t>.  En mai 2014, le requérant fut placé sous mandat d</w:t>
      </w:r>
      <w:r w:rsidR="00A66252" w:rsidRPr="00A66252">
        <w:rPr>
          <w:lang w:val="fr-FR"/>
        </w:rPr>
        <w:t>’</w:t>
      </w:r>
      <w:r w:rsidRPr="00A66252">
        <w:rPr>
          <w:lang w:val="fr-FR"/>
        </w:rPr>
        <w:t>arrêt du chef de vol simple, écroué à la prison de Bruges et libéré quelques jours après.</w:t>
      </w:r>
    </w:p>
    <w:p w:rsidR="00D93679" w:rsidRPr="00A66252" w:rsidRDefault="00D9367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91</w:t>
      </w:r>
      <w:r w:rsidRPr="00A66252">
        <w:rPr>
          <w:lang w:val="fr-FR"/>
        </w:rPr>
        <w:fldChar w:fldCharType="end"/>
      </w:r>
      <w:r w:rsidRPr="00A66252">
        <w:rPr>
          <w:lang w:val="fr-FR"/>
        </w:rPr>
        <w:t xml:space="preserve">.  Deux actes de vente notariés datant du 24 mars et du 5 août 2015 font état de la cession par le requérant, représenté par E.B., à un certain </w:t>
      </w:r>
      <w:proofErr w:type="spellStart"/>
      <w:r w:rsidRPr="00A66252">
        <w:rPr>
          <w:lang w:val="fr-FR"/>
        </w:rPr>
        <w:t>Aleksandre</w:t>
      </w:r>
      <w:proofErr w:type="spellEnd"/>
      <w:r w:rsidRPr="00A66252">
        <w:rPr>
          <w:lang w:val="fr-FR"/>
        </w:rPr>
        <w:t xml:space="preserve"> </w:t>
      </w:r>
      <w:proofErr w:type="spellStart"/>
      <w:r w:rsidRPr="00A66252">
        <w:rPr>
          <w:lang w:val="fr-FR"/>
        </w:rPr>
        <w:t>Paposhvili</w:t>
      </w:r>
      <w:proofErr w:type="spellEnd"/>
      <w:r w:rsidRPr="00A66252">
        <w:rPr>
          <w:lang w:val="fr-FR"/>
        </w:rPr>
        <w:t xml:space="preserve"> d</w:t>
      </w:r>
      <w:r w:rsidR="00A66252" w:rsidRPr="00A66252">
        <w:rPr>
          <w:lang w:val="fr-FR"/>
        </w:rPr>
        <w:t>’</w:t>
      </w:r>
      <w:r w:rsidRPr="00A66252">
        <w:rPr>
          <w:lang w:val="fr-FR"/>
        </w:rPr>
        <w:t>un terrain construc</w:t>
      </w:r>
      <w:r w:rsidR="00B32D6C" w:rsidRPr="00A66252">
        <w:rPr>
          <w:lang w:val="fr-FR"/>
        </w:rPr>
        <w:t>tible pour un montant de 30 000 </w:t>
      </w:r>
      <w:r w:rsidRPr="00A66252">
        <w:rPr>
          <w:lang w:val="fr-FR"/>
        </w:rPr>
        <w:t xml:space="preserve">euros </w:t>
      </w:r>
      <w:r w:rsidR="003524BE" w:rsidRPr="00A66252">
        <w:rPr>
          <w:lang w:val="fr-FR"/>
        </w:rPr>
        <w:t>(EUR</w:t>
      </w:r>
      <w:r w:rsidR="00A74306" w:rsidRPr="00A66252">
        <w:rPr>
          <w:lang w:val="fr-FR"/>
        </w:rPr>
        <w:t xml:space="preserve">) </w:t>
      </w:r>
      <w:r w:rsidRPr="00A66252">
        <w:rPr>
          <w:lang w:val="fr-FR"/>
        </w:rPr>
        <w:t>et d</w:t>
      </w:r>
      <w:r w:rsidR="00A66252" w:rsidRPr="00A66252">
        <w:rPr>
          <w:lang w:val="fr-FR"/>
        </w:rPr>
        <w:t>’</w:t>
      </w:r>
      <w:r w:rsidRPr="00A66252">
        <w:rPr>
          <w:lang w:val="fr-FR"/>
        </w:rPr>
        <w:t>un terrain ag</w:t>
      </w:r>
      <w:r w:rsidR="00B32D6C" w:rsidRPr="00A66252">
        <w:rPr>
          <w:lang w:val="fr-FR"/>
        </w:rPr>
        <w:t>ricole pour un montant de 5 000 </w:t>
      </w:r>
      <w:r w:rsidR="00A74306" w:rsidRPr="00A66252">
        <w:rPr>
          <w:lang w:val="fr-FR"/>
        </w:rPr>
        <w:t>EUR</w:t>
      </w:r>
      <w:r w:rsidRPr="00A66252">
        <w:rPr>
          <w:lang w:val="fr-FR"/>
        </w:rPr>
        <w:t xml:space="preserve"> tous deux situés dans le village de </w:t>
      </w:r>
      <w:proofErr w:type="spellStart"/>
      <w:r w:rsidRPr="00A66252">
        <w:rPr>
          <w:lang w:val="fr-FR"/>
        </w:rPr>
        <w:t>Kalauri</w:t>
      </w:r>
      <w:proofErr w:type="spellEnd"/>
      <w:r w:rsidRPr="00A66252">
        <w:rPr>
          <w:lang w:val="fr-FR"/>
        </w:rPr>
        <w:t xml:space="preserve"> dans la région de </w:t>
      </w:r>
      <w:proofErr w:type="spellStart"/>
      <w:r w:rsidRPr="00A66252">
        <w:rPr>
          <w:lang w:val="fr-FR"/>
        </w:rPr>
        <w:t>Gurjaani</w:t>
      </w:r>
      <w:proofErr w:type="spellEnd"/>
      <w:r w:rsidRPr="00A66252">
        <w:rPr>
          <w:lang w:val="fr-FR"/>
        </w:rPr>
        <w:t xml:space="preserve"> en Géorgie.</w:t>
      </w:r>
    </w:p>
    <w:p w:rsidR="00E77CB3" w:rsidRPr="00A66252" w:rsidRDefault="00E77CB3" w:rsidP="00A66252">
      <w:pPr>
        <w:pStyle w:val="ECHRHeading1"/>
        <w:rPr>
          <w:lang w:val="fr-FR"/>
        </w:rPr>
      </w:pPr>
      <w:r w:rsidRPr="00A66252">
        <w:rPr>
          <w:lang w:val="fr-FR"/>
        </w:rPr>
        <w:t>II.  LE DROIT ET LA PRATIQUE INTERNES PERTINENTS</w:t>
      </w:r>
    </w:p>
    <w:p w:rsidR="00E64FA9" w:rsidRPr="00A66252" w:rsidRDefault="00276F84" w:rsidP="00A66252">
      <w:pPr>
        <w:pStyle w:val="ECHRHeading2"/>
        <w:spacing w:before="240"/>
        <w:rPr>
          <w:lang w:val="fr-FR"/>
        </w:rPr>
      </w:pPr>
      <w:r w:rsidRPr="00A66252">
        <w:rPr>
          <w:lang w:val="fr-FR"/>
        </w:rPr>
        <w:t>A.  </w:t>
      </w:r>
      <w:r w:rsidR="00E64FA9" w:rsidRPr="00A66252">
        <w:rPr>
          <w:lang w:val="fr-FR"/>
        </w:rPr>
        <w:t>Les procédures en régularisation</w:t>
      </w:r>
    </w:p>
    <w:p w:rsidR="00E64FA9" w:rsidRPr="00A66252" w:rsidRDefault="00E64FA9" w:rsidP="00A66252">
      <w:pPr>
        <w:pStyle w:val="ECHRHeading3"/>
        <w:spacing w:before="120"/>
        <w:rPr>
          <w:lang w:val="fr-FR"/>
        </w:rPr>
      </w:pPr>
      <w:r w:rsidRPr="00A66252">
        <w:rPr>
          <w:lang w:val="fr-FR"/>
        </w:rPr>
        <w:t>1.  Régularisation pour circonstances exceptionnelles</w:t>
      </w:r>
    </w:p>
    <w:p w:rsidR="00E64FA9" w:rsidRPr="00A66252" w:rsidRDefault="00E64FA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92</w:t>
      </w:r>
      <w:r w:rsidRPr="00A66252">
        <w:rPr>
          <w:lang w:val="fr-FR"/>
        </w:rPr>
        <w:fldChar w:fldCharType="end"/>
      </w:r>
      <w:r w:rsidRPr="00A66252">
        <w:rPr>
          <w:lang w:val="fr-FR"/>
        </w:rPr>
        <w:t>.  Pour pouvoir séjourner plus de trois mois sur le territoire belge, une personne étrangère doit en principe obtenir une autorisation préalablement à son arrivée sur le territoire. L</w:t>
      </w:r>
      <w:r w:rsidR="00A66252" w:rsidRPr="00A66252">
        <w:rPr>
          <w:lang w:val="fr-FR"/>
        </w:rPr>
        <w:t>’</w:t>
      </w:r>
      <w:r w:rsidRPr="00A66252">
        <w:rPr>
          <w:lang w:val="fr-FR"/>
        </w:rPr>
        <w:t xml:space="preserve">article 9 </w:t>
      </w:r>
      <w:r w:rsidR="008250BE" w:rsidRPr="00A66252">
        <w:rPr>
          <w:lang w:val="fr-FR"/>
        </w:rPr>
        <w:t xml:space="preserve">alinéa 2 </w:t>
      </w:r>
      <w:r w:rsidRPr="00A66252">
        <w:rPr>
          <w:lang w:val="fr-FR"/>
        </w:rPr>
        <w:t>de la loi sur les étrangers prévoit que :</w:t>
      </w:r>
    </w:p>
    <w:p w:rsidR="00E64FA9" w:rsidRPr="00A66252" w:rsidRDefault="00276F84" w:rsidP="00A66252">
      <w:pPr>
        <w:pStyle w:val="ECHRParaQuote"/>
        <w:rPr>
          <w:lang w:val="fr-FR"/>
        </w:rPr>
      </w:pPr>
      <w:r w:rsidRPr="00A66252">
        <w:rPr>
          <w:lang w:val="fr-FR"/>
        </w:rPr>
        <w:t>«</w:t>
      </w:r>
      <w:r w:rsidR="00940DBB" w:rsidRPr="00A66252">
        <w:rPr>
          <w:lang w:val="fr-FR"/>
        </w:rPr>
        <w:t> </w:t>
      </w:r>
      <w:r w:rsidR="00940DBB" w:rsidRPr="00A66252">
        <w:rPr>
          <w:lang w:val="lt-LT"/>
        </w:rPr>
        <w:t>...</w:t>
      </w:r>
      <w:r w:rsidRPr="00A66252">
        <w:rPr>
          <w:lang w:val="fr-FR"/>
        </w:rPr>
        <w:t> </w:t>
      </w:r>
      <w:r w:rsidR="00E64FA9" w:rsidRPr="00A66252">
        <w:rPr>
          <w:lang w:val="fr-FR"/>
        </w:rPr>
        <w:t>Sauf dérogations prévues par un traité international, par une loi ou par un arrêté royal, cette autorisation [de séjourner dans le Royaume au-delà du terme prévu à l</w:t>
      </w:r>
      <w:r w:rsidR="00A66252" w:rsidRPr="00A66252">
        <w:rPr>
          <w:lang w:val="fr-FR"/>
        </w:rPr>
        <w:t>’</w:t>
      </w:r>
      <w:r w:rsidR="00E64FA9" w:rsidRPr="00A66252">
        <w:rPr>
          <w:lang w:val="fr-FR"/>
        </w:rPr>
        <w:t>article 6</w:t>
      </w:r>
      <w:r w:rsidR="008250BE" w:rsidRPr="00A66252">
        <w:rPr>
          <w:lang w:val="fr-FR"/>
        </w:rPr>
        <w:t>, c</w:t>
      </w:r>
      <w:r w:rsidR="00A66252" w:rsidRPr="00A66252">
        <w:rPr>
          <w:lang w:val="fr-FR"/>
        </w:rPr>
        <w:t>’</w:t>
      </w:r>
      <w:r w:rsidR="008250BE" w:rsidRPr="00A66252">
        <w:rPr>
          <w:lang w:val="fr-FR"/>
        </w:rPr>
        <w:t>est-à-dire pendant plus de trois mois</w:t>
      </w:r>
      <w:r w:rsidR="00E64FA9" w:rsidRPr="00A66252">
        <w:rPr>
          <w:lang w:val="fr-FR"/>
        </w:rPr>
        <w:t>] doit être demandée par l</w:t>
      </w:r>
      <w:r w:rsidR="00A66252" w:rsidRPr="00A66252">
        <w:rPr>
          <w:lang w:val="fr-FR"/>
        </w:rPr>
        <w:t>’</w:t>
      </w:r>
      <w:r w:rsidR="00E64FA9" w:rsidRPr="00A66252">
        <w:rPr>
          <w:lang w:val="fr-FR"/>
        </w:rPr>
        <w:t>étranger auprès du poste diplomatique ou consulaire belge compétent pour le lieu de sa</w:t>
      </w:r>
      <w:r w:rsidR="004F7C05" w:rsidRPr="00A66252">
        <w:rPr>
          <w:lang w:val="fr-FR"/>
        </w:rPr>
        <w:t xml:space="preserve"> résidence ou de son séjour à l</w:t>
      </w:r>
      <w:r w:rsidR="00A66252" w:rsidRPr="00A66252">
        <w:rPr>
          <w:lang w:val="fr-FR"/>
        </w:rPr>
        <w:t>’</w:t>
      </w:r>
      <w:r w:rsidR="00E64FA9" w:rsidRPr="00A66252">
        <w:rPr>
          <w:lang w:val="fr-FR"/>
        </w:rPr>
        <w:t>étranger.</w:t>
      </w:r>
      <w:r w:rsidRPr="00A66252">
        <w:rPr>
          <w:lang w:val="fr-FR"/>
        </w:rPr>
        <w:t> </w:t>
      </w:r>
      <w:r w:rsidR="00E64FA9" w:rsidRPr="00A66252">
        <w:rPr>
          <w:lang w:val="fr-FR"/>
        </w:rPr>
        <w:t>»</w:t>
      </w:r>
    </w:p>
    <w:p w:rsidR="00E64FA9" w:rsidRPr="00A66252" w:rsidRDefault="00E64FA9"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93</w:t>
      </w:r>
      <w:r w:rsidRPr="00A66252">
        <w:fldChar w:fldCharType="end"/>
      </w:r>
      <w:r w:rsidRPr="00A66252">
        <w:rPr>
          <w:lang w:val="fr-FR"/>
        </w:rPr>
        <w:t>.  Une personne étrangère qui se trouve en Belgique en séjour irrégulier ou précaire, et qui souhaite obtenir une autorisation de long séjour sans avoir à retourner dans son pays d</w:t>
      </w:r>
      <w:r w:rsidR="00A66252" w:rsidRPr="00A66252">
        <w:rPr>
          <w:lang w:val="fr-FR"/>
        </w:rPr>
        <w:t>’</w:t>
      </w:r>
      <w:r w:rsidRPr="00A66252">
        <w:rPr>
          <w:lang w:val="fr-FR"/>
        </w:rPr>
        <w:t>origine, peut faire la demande directement sur le territoire belge à condition d</w:t>
      </w:r>
      <w:r w:rsidR="00A66252" w:rsidRPr="00A66252">
        <w:rPr>
          <w:lang w:val="fr-FR"/>
        </w:rPr>
        <w:t>’</w:t>
      </w:r>
      <w:r w:rsidRPr="00A66252">
        <w:rPr>
          <w:lang w:val="fr-FR"/>
        </w:rPr>
        <w:t>invoquer des circonstances exceptionnelles. La pratique et la jurisprudence ont dégagé de l</w:t>
      </w:r>
      <w:r w:rsidR="00A66252" w:rsidRPr="00A66252">
        <w:rPr>
          <w:lang w:val="fr-FR"/>
        </w:rPr>
        <w:t>’</w:t>
      </w:r>
      <w:r w:rsidRPr="00A66252">
        <w:rPr>
          <w:lang w:val="fr-FR"/>
        </w:rPr>
        <w:t>article 9</w:t>
      </w:r>
      <w:r w:rsidRPr="00A66252">
        <w:rPr>
          <w:i/>
          <w:lang w:val="fr-FR"/>
        </w:rPr>
        <w:t>bis</w:t>
      </w:r>
      <w:r w:rsidRPr="00A66252">
        <w:rPr>
          <w:lang w:val="fr-FR"/>
        </w:rPr>
        <w:t xml:space="preserve"> (anciennement article 9, alinéa 3) de la loi sur les étrangers la possibilité </w:t>
      </w:r>
      <w:r w:rsidRPr="00A66252">
        <w:rPr>
          <w:lang w:val="fr-FR"/>
        </w:rPr>
        <w:lastRenderedPageBreak/>
        <w:t>d</w:t>
      </w:r>
      <w:r w:rsidR="00A66252" w:rsidRPr="00A66252">
        <w:rPr>
          <w:lang w:val="fr-FR"/>
        </w:rPr>
        <w:t>’</w:t>
      </w:r>
      <w:r w:rsidRPr="00A66252">
        <w:rPr>
          <w:lang w:val="fr-FR"/>
        </w:rPr>
        <w:t>accorder la régularisation de séjour au cas par cas. L</w:t>
      </w:r>
      <w:r w:rsidR="00A66252" w:rsidRPr="00A66252">
        <w:rPr>
          <w:lang w:val="fr-FR"/>
        </w:rPr>
        <w:t>’</w:t>
      </w:r>
      <w:r w:rsidRPr="00A66252">
        <w:rPr>
          <w:lang w:val="fr-FR"/>
        </w:rPr>
        <w:t>article 9</w:t>
      </w:r>
      <w:r w:rsidRPr="00A66252">
        <w:rPr>
          <w:i/>
          <w:lang w:val="fr-FR"/>
        </w:rPr>
        <w:t>bis</w:t>
      </w:r>
      <w:r w:rsidR="004F7C05" w:rsidRPr="00A66252">
        <w:rPr>
          <w:lang w:val="fr-FR"/>
        </w:rPr>
        <w:t xml:space="preserve"> </w:t>
      </w:r>
      <w:r w:rsidR="008250BE" w:rsidRPr="00A66252">
        <w:rPr>
          <w:lang w:val="fr-FR"/>
        </w:rPr>
        <w:t xml:space="preserve">alinéa </w:t>
      </w:r>
      <w:r w:rsidR="004F7C05" w:rsidRPr="00A66252">
        <w:rPr>
          <w:lang w:val="fr-FR"/>
        </w:rPr>
        <w:t>1</w:t>
      </w:r>
      <w:r w:rsidR="004F7C05" w:rsidRPr="00A66252">
        <w:rPr>
          <w:vertAlign w:val="superscript"/>
          <w:lang w:val="fr-FR"/>
        </w:rPr>
        <w:t>er</w:t>
      </w:r>
      <w:r w:rsidRPr="00A66252">
        <w:rPr>
          <w:lang w:val="fr-FR"/>
        </w:rPr>
        <w:t xml:space="preserve"> se lit comme suit</w:t>
      </w:r>
      <w:r w:rsidR="006D3D76" w:rsidRPr="00A66252">
        <w:rPr>
          <w:lang w:val="fr-FR"/>
        </w:rPr>
        <w:t> </w:t>
      </w:r>
      <w:r w:rsidRPr="00A66252">
        <w:rPr>
          <w:lang w:val="fr-FR"/>
        </w:rPr>
        <w:t>:</w:t>
      </w:r>
    </w:p>
    <w:p w:rsidR="004F7C05" w:rsidRPr="00A66252" w:rsidRDefault="00276F84" w:rsidP="00A66252">
      <w:pPr>
        <w:pStyle w:val="ECHRParaQuote"/>
        <w:rPr>
          <w:lang w:val="fr-FR"/>
        </w:rPr>
      </w:pPr>
      <w:r w:rsidRPr="00A66252">
        <w:rPr>
          <w:lang w:val="fr-FR"/>
        </w:rPr>
        <w:t>« </w:t>
      </w:r>
      <w:r w:rsidR="00E64FA9" w:rsidRPr="00A66252">
        <w:rPr>
          <w:lang w:val="fr-FR"/>
        </w:rPr>
        <w:t>Lors de circonstances exceptionnelles et à la condition que l</w:t>
      </w:r>
      <w:r w:rsidR="00A66252" w:rsidRPr="00A66252">
        <w:rPr>
          <w:lang w:val="fr-FR"/>
        </w:rPr>
        <w:t>’</w:t>
      </w:r>
      <w:r w:rsidR="00E64FA9" w:rsidRPr="00A66252">
        <w:rPr>
          <w:lang w:val="fr-FR"/>
        </w:rPr>
        <w:t>étranger dispose d</w:t>
      </w:r>
      <w:r w:rsidR="00A66252" w:rsidRPr="00A66252">
        <w:rPr>
          <w:lang w:val="fr-FR"/>
        </w:rPr>
        <w:t>’</w:t>
      </w:r>
      <w:r w:rsidR="00E64FA9" w:rsidRPr="00A66252">
        <w:rPr>
          <w:lang w:val="fr-FR"/>
        </w:rPr>
        <w:t>un document d</w:t>
      </w:r>
      <w:r w:rsidR="00A66252" w:rsidRPr="00A66252">
        <w:rPr>
          <w:lang w:val="fr-FR"/>
        </w:rPr>
        <w:t>’</w:t>
      </w:r>
      <w:r w:rsidR="00E64FA9" w:rsidRPr="00A66252">
        <w:rPr>
          <w:lang w:val="fr-FR"/>
        </w:rPr>
        <w:t>identité, l</w:t>
      </w:r>
      <w:r w:rsidR="00A66252" w:rsidRPr="00A66252">
        <w:rPr>
          <w:lang w:val="fr-FR"/>
        </w:rPr>
        <w:t>’</w:t>
      </w:r>
      <w:r w:rsidR="00E64FA9" w:rsidRPr="00A66252">
        <w:rPr>
          <w:lang w:val="fr-FR"/>
        </w:rPr>
        <w:t>autorisation de séjour peut être demandée auprès du bourgmestre de la localité où il séjourne, qui la transmettra au ministre ou à son délégué. Quand le ministre ou son délégué accorde l</w:t>
      </w:r>
      <w:r w:rsidR="00A66252" w:rsidRPr="00A66252">
        <w:rPr>
          <w:lang w:val="fr-FR"/>
        </w:rPr>
        <w:t>’</w:t>
      </w:r>
      <w:r w:rsidR="00E64FA9" w:rsidRPr="00A66252">
        <w:rPr>
          <w:lang w:val="fr-FR"/>
        </w:rPr>
        <w:t>autorisation de séjour, celle-ci s</w:t>
      </w:r>
      <w:r w:rsidRPr="00A66252">
        <w:rPr>
          <w:lang w:val="fr-FR"/>
        </w:rPr>
        <w:t>era délivrée en Belgique</w:t>
      </w:r>
      <w:r w:rsidR="008250BE" w:rsidRPr="00A66252">
        <w:rPr>
          <w:lang w:val="fr-FR"/>
        </w:rPr>
        <w:t>. </w:t>
      </w:r>
      <w:r w:rsidR="00940DBB" w:rsidRPr="00A66252">
        <w:rPr>
          <w:lang w:val="fr-FR"/>
        </w:rPr>
        <w:t>... </w:t>
      </w:r>
      <w:r w:rsidR="008250BE" w:rsidRPr="00A66252">
        <w:rPr>
          <w:lang w:val="fr-FR"/>
        </w:rPr>
        <w:t>»</w:t>
      </w:r>
    </w:p>
    <w:p w:rsidR="00E64FA9" w:rsidRPr="00A66252" w:rsidRDefault="00FF2102" w:rsidP="00A66252">
      <w:pPr>
        <w:pStyle w:val="ECHRPara"/>
        <w:rPr>
          <w:rFonts w:cs="Myriad Pro"/>
          <w:color w:val="000000"/>
          <w:szCs w:val="24"/>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94</w:t>
      </w:r>
      <w:r w:rsidRPr="00A66252">
        <w:rPr>
          <w:lang w:val="fr-FR"/>
        </w:rPr>
        <w:fldChar w:fldCharType="end"/>
      </w:r>
      <w:r w:rsidRPr="00A66252">
        <w:rPr>
          <w:lang w:val="fr-FR"/>
        </w:rPr>
        <w:t>.  </w:t>
      </w:r>
      <w:r w:rsidR="00E64FA9" w:rsidRPr="00A66252">
        <w:rPr>
          <w:lang w:val="fr-FR"/>
        </w:rPr>
        <w:t>Ni les circonstances exceptionnelles qui permettent l</w:t>
      </w:r>
      <w:r w:rsidR="00A66252" w:rsidRPr="00A66252">
        <w:rPr>
          <w:lang w:val="fr-FR"/>
        </w:rPr>
        <w:t>’</w:t>
      </w:r>
      <w:r w:rsidR="00E64FA9" w:rsidRPr="00A66252">
        <w:rPr>
          <w:lang w:val="fr-FR"/>
        </w:rPr>
        <w:t>introduction de la demande depuis le territoire belge, ni les motifs de fond qui justifieraient l</w:t>
      </w:r>
      <w:r w:rsidR="00A66252" w:rsidRPr="00A66252">
        <w:rPr>
          <w:lang w:val="fr-FR"/>
        </w:rPr>
        <w:t>’</w:t>
      </w:r>
      <w:r w:rsidR="00E64FA9" w:rsidRPr="00A66252">
        <w:rPr>
          <w:lang w:val="fr-FR"/>
        </w:rPr>
        <w:t>octroi du séjour ne sont précisés dans la loi. Il appartient à l</w:t>
      </w:r>
      <w:r w:rsidR="00A66252" w:rsidRPr="00A66252">
        <w:rPr>
          <w:lang w:val="fr-FR"/>
        </w:rPr>
        <w:t>’</w:t>
      </w:r>
      <w:r w:rsidR="00E64FA9" w:rsidRPr="00A66252">
        <w:rPr>
          <w:lang w:val="fr-FR"/>
        </w:rPr>
        <w:t>OE d</w:t>
      </w:r>
      <w:r w:rsidR="00A66252" w:rsidRPr="00A66252">
        <w:rPr>
          <w:lang w:val="fr-FR"/>
        </w:rPr>
        <w:t>’</w:t>
      </w:r>
      <w:r w:rsidR="00E64FA9" w:rsidRPr="00A66252">
        <w:rPr>
          <w:lang w:val="fr-FR"/>
        </w:rPr>
        <w:t>apprécier, dans chaque cas d</w:t>
      </w:r>
      <w:r w:rsidR="00A66252" w:rsidRPr="00A66252">
        <w:rPr>
          <w:lang w:val="fr-FR"/>
        </w:rPr>
        <w:t>’</w:t>
      </w:r>
      <w:r w:rsidR="00E64FA9" w:rsidRPr="00A66252">
        <w:rPr>
          <w:lang w:val="fr-FR"/>
        </w:rPr>
        <w:t>espèce, les circonstances alléguées par l</w:t>
      </w:r>
      <w:r w:rsidR="00A66252" w:rsidRPr="00A66252">
        <w:rPr>
          <w:lang w:val="fr-FR"/>
        </w:rPr>
        <w:t>’</w:t>
      </w:r>
      <w:r w:rsidR="00E64FA9" w:rsidRPr="00A66252">
        <w:rPr>
          <w:lang w:val="fr-FR"/>
        </w:rPr>
        <w:t xml:space="preserve">étranger. </w:t>
      </w:r>
      <w:r w:rsidR="00E64FA9" w:rsidRPr="00A66252">
        <w:rPr>
          <w:rFonts w:cs="Myriad Pro"/>
          <w:color w:val="000000"/>
          <w:szCs w:val="24"/>
          <w:lang w:val="fr-FR"/>
        </w:rPr>
        <w:t>L</w:t>
      </w:r>
      <w:r w:rsidR="00A66252" w:rsidRPr="00A66252">
        <w:rPr>
          <w:rFonts w:cs="Myriad Pro"/>
          <w:color w:val="000000"/>
          <w:szCs w:val="24"/>
          <w:lang w:val="fr-FR"/>
        </w:rPr>
        <w:t>’</w:t>
      </w:r>
      <w:r w:rsidR="00E64FA9" w:rsidRPr="00A66252">
        <w:rPr>
          <w:rFonts w:cs="Myriad Pro"/>
          <w:color w:val="000000"/>
          <w:szCs w:val="24"/>
          <w:lang w:val="fr-FR"/>
        </w:rPr>
        <w:t>OE procède d</w:t>
      </w:r>
      <w:r w:rsidR="00A66252" w:rsidRPr="00A66252">
        <w:rPr>
          <w:rFonts w:cs="Myriad Pro"/>
          <w:color w:val="000000"/>
          <w:szCs w:val="24"/>
          <w:lang w:val="fr-FR"/>
        </w:rPr>
        <w:t>’</w:t>
      </w:r>
      <w:r w:rsidR="00E64FA9" w:rsidRPr="00A66252">
        <w:rPr>
          <w:rFonts w:cs="Myriad Pro"/>
          <w:color w:val="000000"/>
          <w:szCs w:val="24"/>
          <w:lang w:val="fr-FR"/>
        </w:rPr>
        <w:t>abord à l</w:t>
      </w:r>
      <w:r w:rsidR="00A66252" w:rsidRPr="00A66252">
        <w:rPr>
          <w:rFonts w:cs="Myriad Pro"/>
          <w:color w:val="000000"/>
          <w:szCs w:val="24"/>
          <w:lang w:val="fr-FR"/>
        </w:rPr>
        <w:t>’</w:t>
      </w:r>
      <w:r w:rsidR="00E64FA9" w:rsidRPr="00A66252">
        <w:rPr>
          <w:rFonts w:cs="Myriad Pro"/>
          <w:color w:val="000000"/>
          <w:szCs w:val="24"/>
          <w:lang w:val="fr-FR"/>
        </w:rPr>
        <w:t xml:space="preserve">examen des circonstances exceptionnelles afin </w:t>
      </w:r>
      <w:r w:rsidR="00FA712E" w:rsidRPr="00A66252">
        <w:rPr>
          <w:rFonts w:cs="Myriad Pro"/>
          <w:color w:val="000000"/>
          <w:szCs w:val="24"/>
          <w:lang w:val="fr-FR"/>
        </w:rPr>
        <w:t xml:space="preserve">de </w:t>
      </w:r>
      <w:r w:rsidR="00E64FA9" w:rsidRPr="00A66252">
        <w:rPr>
          <w:rFonts w:cs="Myriad Pro"/>
          <w:color w:val="000000"/>
          <w:szCs w:val="24"/>
          <w:lang w:val="fr-FR"/>
        </w:rPr>
        <w:t>déterminer si la demande est recevable. Si c</w:t>
      </w:r>
      <w:r w:rsidR="00A66252" w:rsidRPr="00A66252">
        <w:rPr>
          <w:rFonts w:cs="Myriad Pro"/>
          <w:color w:val="000000"/>
          <w:szCs w:val="24"/>
          <w:lang w:val="fr-FR"/>
        </w:rPr>
        <w:t>’</w:t>
      </w:r>
      <w:r w:rsidR="00E64FA9" w:rsidRPr="00A66252">
        <w:rPr>
          <w:rFonts w:cs="Myriad Pro"/>
          <w:color w:val="000000"/>
          <w:szCs w:val="24"/>
          <w:lang w:val="fr-FR"/>
        </w:rPr>
        <w:t>est le cas, elle se prononce ensuite sur les motifs de fond que l</w:t>
      </w:r>
      <w:r w:rsidR="00A66252" w:rsidRPr="00A66252">
        <w:rPr>
          <w:rFonts w:cs="Myriad Pro"/>
          <w:color w:val="000000"/>
          <w:szCs w:val="24"/>
          <w:lang w:val="fr-FR"/>
        </w:rPr>
        <w:t>’</w:t>
      </w:r>
      <w:r w:rsidR="00E64FA9" w:rsidRPr="00A66252">
        <w:rPr>
          <w:rFonts w:cs="Myriad Pro"/>
          <w:color w:val="000000"/>
          <w:szCs w:val="24"/>
          <w:lang w:val="fr-FR"/>
        </w:rPr>
        <w:t>étranger fait valoir pour appuyer sa demande d</w:t>
      </w:r>
      <w:r w:rsidR="00A66252" w:rsidRPr="00A66252">
        <w:rPr>
          <w:rFonts w:cs="Myriad Pro"/>
          <w:color w:val="000000"/>
          <w:szCs w:val="24"/>
          <w:lang w:val="fr-FR"/>
        </w:rPr>
        <w:t>’</w:t>
      </w:r>
      <w:r w:rsidR="00E64FA9" w:rsidRPr="00A66252">
        <w:rPr>
          <w:rFonts w:cs="Myriad Pro"/>
          <w:color w:val="000000"/>
          <w:szCs w:val="24"/>
          <w:lang w:val="fr-FR"/>
        </w:rPr>
        <w:t>autorisation de séjour.</w:t>
      </w:r>
    </w:p>
    <w:p w:rsidR="00E64FA9" w:rsidRPr="00A66252" w:rsidRDefault="000E104E" w:rsidP="00A66252">
      <w:pPr>
        <w:pStyle w:val="ECHRHeading3"/>
        <w:rPr>
          <w:lang w:val="fr-FR"/>
        </w:rPr>
      </w:pPr>
      <w:r w:rsidRPr="00A66252">
        <w:rPr>
          <w:lang w:val="fr-FR"/>
        </w:rPr>
        <w:t>2</w:t>
      </w:r>
      <w:r w:rsidR="00E64FA9" w:rsidRPr="00A66252">
        <w:rPr>
          <w:lang w:val="fr-FR"/>
        </w:rPr>
        <w:t>.  Régularisation pour raisons médicales</w:t>
      </w:r>
    </w:p>
    <w:p w:rsidR="00D16C82" w:rsidRPr="00A66252" w:rsidRDefault="00D16C82" w:rsidP="00A66252">
      <w:pPr>
        <w:pStyle w:val="ECHRHeading4"/>
        <w:rPr>
          <w:lang w:val="fr-FR"/>
        </w:rPr>
      </w:pPr>
      <w:r w:rsidRPr="00A66252">
        <w:rPr>
          <w:lang w:val="fr-FR"/>
        </w:rPr>
        <w:t>a)</w:t>
      </w:r>
      <w:r w:rsidR="00276F84" w:rsidRPr="00A66252">
        <w:rPr>
          <w:lang w:val="fr-FR"/>
        </w:rPr>
        <w:t>  </w:t>
      </w:r>
      <w:r w:rsidRPr="00A66252">
        <w:rPr>
          <w:lang w:val="fr-FR"/>
        </w:rPr>
        <w:t>L</w:t>
      </w:r>
      <w:r w:rsidR="00A66252" w:rsidRPr="00A66252">
        <w:rPr>
          <w:lang w:val="fr-FR"/>
        </w:rPr>
        <w:t>’</w:t>
      </w:r>
      <w:r w:rsidRPr="00A66252">
        <w:rPr>
          <w:lang w:val="fr-FR"/>
        </w:rPr>
        <w:t>article 9</w:t>
      </w:r>
      <w:r w:rsidRPr="00A66252">
        <w:rPr>
          <w:i/>
          <w:lang w:val="fr-FR"/>
        </w:rPr>
        <w:t>ter</w:t>
      </w:r>
      <w:r w:rsidRPr="00A66252">
        <w:rPr>
          <w:lang w:val="fr-FR"/>
        </w:rPr>
        <w:t xml:space="preserve"> de la loi sur les étrangers</w:t>
      </w:r>
    </w:p>
    <w:p w:rsidR="00A66252" w:rsidRPr="00A66252" w:rsidRDefault="00E64FA9"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95</w:t>
      </w:r>
      <w:r w:rsidRPr="00A66252">
        <w:fldChar w:fldCharType="end"/>
      </w:r>
      <w:r w:rsidRPr="00A66252">
        <w:rPr>
          <w:lang w:val="fr-FR"/>
        </w:rPr>
        <w:t>.  </w:t>
      </w:r>
      <w:r w:rsidR="00912274" w:rsidRPr="00A66252">
        <w:rPr>
          <w:lang w:val="fr-FR"/>
        </w:rPr>
        <w:t>L</w:t>
      </w:r>
      <w:r w:rsidR="00A66252" w:rsidRPr="00A66252">
        <w:rPr>
          <w:lang w:val="fr-FR"/>
        </w:rPr>
        <w:t>’</w:t>
      </w:r>
      <w:r w:rsidR="00912274" w:rsidRPr="00A66252">
        <w:rPr>
          <w:lang w:val="fr-FR"/>
        </w:rPr>
        <w:t>article 9</w:t>
      </w:r>
      <w:r w:rsidR="00912274" w:rsidRPr="00A66252">
        <w:rPr>
          <w:i/>
          <w:lang w:val="fr-FR"/>
        </w:rPr>
        <w:t>ter</w:t>
      </w:r>
      <w:r w:rsidR="00912274" w:rsidRPr="00A66252">
        <w:rPr>
          <w:lang w:val="fr-FR"/>
        </w:rPr>
        <w:t xml:space="preserve"> de la loi sur les étrangers prévoit la possibilité d</w:t>
      </w:r>
      <w:r w:rsidR="00A66252" w:rsidRPr="00A66252">
        <w:rPr>
          <w:lang w:val="fr-FR"/>
        </w:rPr>
        <w:t>’</w:t>
      </w:r>
      <w:r w:rsidR="00912274" w:rsidRPr="00A66252">
        <w:rPr>
          <w:lang w:val="fr-FR"/>
        </w:rPr>
        <w:t>octroyer une autorisation de séjour pour r</w:t>
      </w:r>
      <w:r w:rsidR="006D3D76" w:rsidRPr="00A66252">
        <w:rPr>
          <w:lang w:val="fr-FR"/>
        </w:rPr>
        <w:t>aisons médicales. Le paragraphe </w:t>
      </w:r>
      <w:r w:rsidR="00912274" w:rsidRPr="00A66252">
        <w:rPr>
          <w:lang w:val="fr-FR"/>
        </w:rPr>
        <w:t>1</w:t>
      </w:r>
      <w:r w:rsidR="00912274" w:rsidRPr="00A66252">
        <w:rPr>
          <w:vertAlign w:val="superscript"/>
          <w:lang w:val="fr-FR"/>
        </w:rPr>
        <w:t>er</w:t>
      </w:r>
      <w:r w:rsidR="00912274" w:rsidRPr="00A66252">
        <w:rPr>
          <w:lang w:val="fr-FR"/>
        </w:rPr>
        <w:t>, tel qu</w:t>
      </w:r>
      <w:r w:rsidR="00A66252" w:rsidRPr="00A66252">
        <w:rPr>
          <w:lang w:val="fr-FR"/>
        </w:rPr>
        <w:t>’</w:t>
      </w:r>
      <w:r w:rsidR="00912274" w:rsidRPr="00A66252">
        <w:rPr>
          <w:lang w:val="fr-FR"/>
        </w:rPr>
        <w:t xml:space="preserve">il a été </w:t>
      </w:r>
      <w:r w:rsidR="004F7C05" w:rsidRPr="00A66252">
        <w:rPr>
          <w:lang w:val="fr-FR"/>
        </w:rPr>
        <w:t>inséré</w:t>
      </w:r>
      <w:r w:rsidR="00912274" w:rsidRPr="00A66252">
        <w:rPr>
          <w:lang w:val="fr-FR"/>
        </w:rPr>
        <w:t xml:space="preserve"> par la loi du 15 septembre 2006, modifié par la loi du 7 juin 2009 et remplacé par la loi du 29 décembre 2010, se li</w:t>
      </w:r>
      <w:r w:rsidR="008250BE" w:rsidRPr="00A66252">
        <w:rPr>
          <w:lang w:val="fr-FR"/>
        </w:rPr>
        <w:t>sai</w:t>
      </w:r>
      <w:r w:rsidR="00912274" w:rsidRPr="00A66252">
        <w:rPr>
          <w:lang w:val="fr-FR"/>
        </w:rPr>
        <w:t xml:space="preserve">t </w:t>
      </w:r>
      <w:r w:rsidR="008250BE" w:rsidRPr="00A66252">
        <w:rPr>
          <w:lang w:val="fr-FR"/>
        </w:rPr>
        <w:t>à l</w:t>
      </w:r>
      <w:r w:rsidR="00A66252" w:rsidRPr="00A66252">
        <w:rPr>
          <w:lang w:val="fr-FR"/>
        </w:rPr>
        <w:t>’</w:t>
      </w:r>
      <w:r w:rsidR="008250BE" w:rsidRPr="00A66252">
        <w:rPr>
          <w:lang w:val="fr-FR"/>
        </w:rPr>
        <w:t xml:space="preserve">époque </w:t>
      </w:r>
      <w:r w:rsidR="00912274" w:rsidRPr="00A66252">
        <w:rPr>
          <w:lang w:val="fr-FR"/>
        </w:rPr>
        <w:t>comme suit:</w:t>
      </w:r>
    </w:p>
    <w:p w:rsidR="00912274" w:rsidRPr="00A66252" w:rsidRDefault="006D3D76" w:rsidP="00A66252">
      <w:pPr>
        <w:pStyle w:val="ECHRParaQuote"/>
        <w:ind w:left="567"/>
        <w:rPr>
          <w:rFonts w:ascii="Times New Roman" w:hAnsi="Times New Roman" w:cs="Times New Roman"/>
          <w:lang w:val="fr-FR"/>
        </w:rPr>
      </w:pPr>
      <w:r w:rsidRPr="00A66252">
        <w:rPr>
          <w:rFonts w:ascii="Times New Roman" w:hAnsi="Times New Roman" w:cs="Times New Roman"/>
          <w:lang w:val="fr-FR"/>
        </w:rPr>
        <w:t>« § </w:t>
      </w:r>
      <w:r w:rsidR="00912274" w:rsidRPr="00A66252">
        <w:rPr>
          <w:rFonts w:ascii="Times New Roman" w:hAnsi="Times New Roman" w:cs="Times New Roman"/>
          <w:lang w:val="fr-FR"/>
        </w:rPr>
        <w:t>1</w:t>
      </w:r>
      <w:r w:rsidR="00912274" w:rsidRPr="00A66252">
        <w:rPr>
          <w:rFonts w:ascii="Times New Roman" w:hAnsi="Times New Roman" w:cs="Times New Roman"/>
          <w:vertAlign w:val="superscript"/>
          <w:lang w:val="fr-FR"/>
        </w:rPr>
        <w:t>er</w:t>
      </w:r>
      <w:r w:rsidRPr="00A66252">
        <w:rPr>
          <w:rFonts w:ascii="Times New Roman" w:hAnsi="Times New Roman" w:cs="Times New Roman"/>
          <w:lang w:val="fr-FR"/>
        </w:rPr>
        <w:t>.  </w:t>
      </w:r>
      <w:r w:rsidR="00912274" w:rsidRPr="00A66252">
        <w:rPr>
          <w:rFonts w:ascii="Times New Roman" w:hAnsi="Times New Roman" w:cs="Times New Roman"/>
          <w:lang w:val="fr-FR"/>
        </w:rPr>
        <w:t>L</w:t>
      </w:r>
      <w:r w:rsidR="00A66252" w:rsidRPr="00A66252">
        <w:rPr>
          <w:rFonts w:ascii="Times New Roman" w:hAnsi="Times New Roman" w:cs="Times New Roman"/>
          <w:lang w:val="fr-FR"/>
        </w:rPr>
        <w:t>’</w:t>
      </w:r>
      <w:r w:rsidR="00912274" w:rsidRPr="00A66252">
        <w:rPr>
          <w:rFonts w:ascii="Times New Roman" w:hAnsi="Times New Roman" w:cs="Times New Roman"/>
          <w:lang w:val="fr-FR"/>
        </w:rPr>
        <w:t>étranger qui séjourne en Belgique qui démontre son identité conformément au § 2 et qui souffre d</w:t>
      </w:r>
      <w:r w:rsidR="00A66252" w:rsidRPr="00A66252">
        <w:rPr>
          <w:rFonts w:ascii="Times New Roman" w:hAnsi="Times New Roman" w:cs="Times New Roman"/>
          <w:lang w:val="fr-FR"/>
        </w:rPr>
        <w:t>’</w:t>
      </w:r>
      <w:r w:rsidR="00912274" w:rsidRPr="00A66252">
        <w:rPr>
          <w:rFonts w:ascii="Times New Roman" w:hAnsi="Times New Roman" w:cs="Times New Roman"/>
          <w:lang w:val="fr-FR"/>
        </w:rPr>
        <w:t>une maladie telle qu</w:t>
      </w:r>
      <w:r w:rsidR="00A66252" w:rsidRPr="00A66252">
        <w:rPr>
          <w:rFonts w:ascii="Times New Roman" w:hAnsi="Times New Roman" w:cs="Times New Roman"/>
          <w:lang w:val="fr-FR"/>
        </w:rPr>
        <w:t>’</w:t>
      </w:r>
      <w:r w:rsidR="00912274" w:rsidRPr="00A66252">
        <w:rPr>
          <w:rFonts w:ascii="Times New Roman" w:hAnsi="Times New Roman" w:cs="Times New Roman"/>
          <w:lang w:val="fr-FR"/>
        </w:rPr>
        <w:t>elle entraîne un risque réel pour sa vie ou son intégrité physique ou un risque réel de traitement inhumain ou dégradant lorsqu</w:t>
      </w:r>
      <w:r w:rsidR="00A66252" w:rsidRPr="00A66252">
        <w:rPr>
          <w:rFonts w:ascii="Times New Roman" w:hAnsi="Times New Roman" w:cs="Times New Roman"/>
          <w:lang w:val="fr-FR"/>
        </w:rPr>
        <w:t>’</w:t>
      </w:r>
      <w:r w:rsidR="00912274" w:rsidRPr="00A66252">
        <w:rPr>
          <w:rFonts w:ascii="Times New Roman" w:hAnsi="Times New Roman" w:cs="Times New Roman"/>
          <w:lang w:val="fr-FR"/>
        </w:rPr>
        <w:t>il n</w:t>
      </w:r>
      <w:r w:rsidR="00A66252" w:rsidRPr="00A66252">
        <w:rPr>
          <w:rFonts w:ascii="Times New Roman" w:hAnsi="Times New Roman" w:cs="Times New Roman"/>
          <w:lang w:val="fr-FR"/>
        </w:rPr>
        <w:t>’</w:t>
      </w:r>
      <w:r w:rsidR="00912274" w:rsidRPr="00A66252">
        <w:rPr>
          <w:rFonts w:ascii="Times New Roman" w:hAnsi="Times New Roman" w:cs="Times New Roman"/>
          <w:lang w:val="fr-FR"/>
        </w:rPr>
        <w:t>existe aucun traitement adéquat dans son pays d</w:t>
      </w:r>
      <w:r w:rsidR="00A66252" w:rsidRPr="00A66252">
        <w:rPr>
          <w:rFonts w:ascii="Times New Roman" w:hAnsi="Times New Roman" w:cs="Times New Roman"/>
          <w:lang w:val="fr-FR"/>
        </w:rPr>
        <w:t>’</w:t>
      </w:r>
      <w:r w:rsidR="00912274" w:rsidRPr="00A66252">
        <w:rPr>
          <w:rFonts w:ascii="Times New Roman" w:hAnsi="Times New Roman" w:cs="Times New Roman"/>
          <w:lang w:val="fr-FR"/>
        </w:rPr>
        <w:t>origine ou dans le pays où il séjourne, peut demander l</w:t>
      </w:r>
      <w:r w:rsidR="00A66252" w:rsidRPr="00A66252">
        <w:rPr>
          <w:rFonts w:ascii="Times New Roman" w:hAnsi="Times New Roman" w:cs="Times New Roman"/>
          <w:lang w:val="fr-FR"/>
        </w:rPr>
        <w:t>’</w:t>
      </w:r>
      <w:r w:rsidR="00912274" w:rsidRPr="00A66252">
        <w:rPr>
          <w:rFonts w:ascii="Times New Roman" w:hAnsi="Times New Roman" w:cs="Times New Roman"/>
          <w:lang w:val="fr-FR"/>
        </w:rPr>
        <w:t>autorisation de séjourner dans le Royaume auprès du ministre ou son délégué.</w:t>
      </w:r>
    </w:p>
    <w:p w:rsidR="00912274" w:rsidRPr="00A66252" w:rsidRDefault="00912274" w:rsidP="00A66252">
      <w:pPr>
        <w:pStyle w:val="ECHRParaQuote"/>
        <w:ind w:left="567"/>
        <w:rPr>
          <w:rFonts w:ascii="Times New Roman" w:hAnsi="Times New Roman" w:cs="Times New Roman"/>
          <w:lang w:val="fr-FR"/>
        </w:rPr>
      </w:pPr>
      <w:r w:rsidRPr="00A66252">
        <w:rPr>
          <w:rFonts w:ascii="Times New Roman" w:hAnsi="Times New Roman" w:cs="Times New Roman"/>
          <w:lang w:val="fr-FR"/>
        </w:rPr>
        <w:t>La demande doit être introduite par pli recommandé auprès du ministre ou son délégué et contient l</w:t>
      </w:r>
      <w:r w:rsidR="00A66252" w:rsidRPr="00A66252">
        <w:rPr>
          <w:rFonts w:ascii="Times New Roman" w:hAnsi="Times New Roman" w:cs="Times New Roman"/>
          <w:lang w:val="fr-FR"/>
        </w:rPr>
        <w:t>’</w:t>
      </w:r>
      <w:r w:rsidRPr="00A66252">
        <w:rPr>
          <w:rFonts w:ascii="Times New Roman" w:hAnsi="Times New Roman" w:cs="Times New Roman"/>
          <w:lang w:val="fr-FR"/>
        </w:rPr>
        <w:t>adresse de la résidence effective de l</w:t>
      </w:r>
      <w:r w:rsidR="00A66252" w:rsidRPr="00A66252">
        <w:rPr>
          <w:rFonts w:ascii="Times New Roman" w:hAnsi="Times New Roman" w:cs="Times New Roman"/>
          <w:lang w:val="fr-FR"/>
        </w:rPr>
        <w:t>’</w:t>
      </w:r>
      <w:r w:rsidRPr="00A66252">
        <w:rPr>
          <w:rFonts w:ascii="Times New Roman" w:hAnsi="Times New Roman" w:cs="Times New Roman"/>
          <w:lang w:val="fr-FR"/>
        </w:rPr>
        <w:t>étranger en Belgique.</w:t>
      </w:r>
    </w:p>
    <w:p w:rsidR="00912274" w:rsidRPr="00A66252" w:rsidRDefault="00912274" w:rsidP="00A66252">
      <w:pPr>
        <w:pStyle w:val="ECHRParaQuote"/>
        <w:ind w:left="567"/>
        <w:rPr>
          <w:rFonts w:ascii="Times New Roman" w:hAnsi="Times New Roman" w:cs="Times New Roman"/>
          <w:lang w:val="fr-FR"/>
        </w:rPr>
      </w:pPr>
      <w:r w:rsidRPr="00A66252">
        <w:rPr>
          <w:rFonts w:ascii="Times New Roman" w:hAnsi="Times New Roman" w:cs="Times New Roman"/>
          <w:lang w:val="fr-FR"/>
        </w:rPr>
        <w:t>L</w:t>
      </w:r>
      <w:r w:rsidR="00A66252" w:rsidRPr="00A66252">
        <w:rPr>
          <w:rFonts w:ascii="Times New Roman" w:hAnsi="Times New Roman" w:cs="Times New Roman"/>
          <w:lang w:val="fr-FR"/>
        </w:rPr>
        <w:t>’</w:t>
      </w:r>
      <w:r w:rsidRPr="00A66252">
        <w:rPr>
          <w:rFonts w:ascii="Times New Roman" w:hAnsi="Times New Roman" w:cs="Times New Roman"/>
          <w:lang w:val="fr-FR"/>
        </w:rPr>
        <w:t>étranger transmet avec la demande tous les renseignements utiles concernant sa maladie et les possibilités et l</w:t>
      </w:r>
      <w:r w:rsidR="00A66252" w:rsidRPr="00A66252">
        <w:rPr>
          <w:rFonts w:ascii="Times New Roman" w:hAnsi="Times New Roman" w:cs="Times New Roman"/>
          <w:lang w:val="fr-FR"/>
        </w:rPr>
        <w:t>’</w:t>
      </w:r>
      <w:r w:rsidRPr="00A66252">
        <w:rPr>
          <w:rFonts w:ascii="Times New Roman" w:hAnsi="Times New Roman" w:cs="Times New Roman"/>
          <w:lang w:val="fr-FR"/>
        </w:rPr>
        <w:t>accessibilité de traitement adéquat dans son pays d</w:t>
      </w:r>
      <w:r w:rsidR="00A66252" w:rsidRPr="00A66252">
        <w:rPr>
          <w:rFonts w:ascii="Times New Roman" w:hAnsi="Times New Roman" w:cs="Times New Roman"/>
          <w:lang w:val="fr-FR"/>
        </w:rPr>
        <w:t>’</w:t>
      </w:r>
      <w:r w:rsidRPr="00A66252">
        <w:rPr>
          <w:rFonts w:ascii="Times New Roman" w:hAnsi="Times New Roman" w:cs="Times New Roman"/>
          <w:lang w:val="fr-FR"/>
        </w:rPr>
        <w:t>origine ou dans le pays où il séjourne.</w:t>
      </w:r>
    </w:p>
    <w:p w:rsidR="00912274" w:rsidRPr="00A66252" w:rsidRDefault="00912274" w:rsidP="00A66252">
      <w:pPr>
        <w:pStyle w:val="ECHRParaQuote"/>
        <w:ind w:left="567"/>
        <w:rPr>
          <w:rFonts w:ascii="Times New Roman" w:hAnsi="Times New Roman" w:cs="Times New Roman"/>
          <w:lang w:val="fr-FR"/>
        </w:rPr>
      </w:pPr>
      <w:r w:rsidRPr="00A66252">
        <w:rPr>
          <w:rFonts w:ascii="Times New Roman" w:hAnsi="Times New Roman" w:cs="Times New Roman"/>
          <w:lang w:val="fr-FR"/>
        </w:rPr>
        <w:t>Il transmet un certificat médical type prévu par le Roi, par arrêté délibéré en Conseil des Ministres. Ce certificat médical indique la maladie, son degré de gravité et le traitement estimé nécessaire.</w:t>
      </w:r>
    </w:p>
    <w:p w:rsidR="00912274" w:rsidRPr="00A66252" w:rsidRDefault="00912274" w:rsidP="00A66252">
      <w:pPr>
        <w:pStyle w:val="ECHRParaQuote"/>
        <w:rPr>
          <w:rFonts w:ascii="Times New Roman" w:hAnsi="Times New Roman" w:cs="Times New Roman"/>
          <w:lang w:val="fr-FR"/>
        </w:rPr>
      </w:pPr>
      <w:r w:rsidRPr="00A66252">
        <w:rPr>
          <w:rFonts w:ascii="Times New Roman" w:hAnsi="Times New Roman" w:cs="Times New Roman"/>
          <w:lang w:val="fr-FR"/>
        </w:rPr>
        <w:t>L</w:t>
      </w:r>
      <w:r w:rsidR="00A66252" w:rsidRPr="00A66252">
        <w:rPr>
          <w:rFonts w:ascii="Times New Roman" w:hAnsi="Times New Roman" w:cs="Times New Roman"/>
          <w:lang w:val="fr-FR"/>
        </w:rPr>
        <w:t>’</w:t>
      </w:r>
      <w:r w:rsidRPr="00A66252">
        <w:rPr>
          <w:rFonts w:ascii="Times New Roman" w:hAnsi="Times New Roman" w:cs="Times New Roman"/>
          <w:lang w:val="fr-FR"/>
        </w:rPr>
        <w:t>appréciation du risque visé à l</w:t>
      </w:r>
      <w:r w:rsidR="00A66252" w:rsidRPr="00A66252">
        <w:rPr>
          <w:rFonts w:ascii="Times New Roman" w:hAnsi="Times New Roman" w:cs="Times New Roman"/>
          <w:lang w:val="fr-FR"/>
        </w:rPr>
        <w:t>’</w:t>
      </w:r>
      <w:r w:rsidRPr="00A66252">
        <w:rPr>
          <w:rFonts w:ascii="Times New Roman" w:hAnsi="Times New Roman" w:cs="Times New Roman"/>
          <w:lang w:val="fr-FR"/>
        </w:rPr>
        <w:t>alinéa 1er, des possibilités de traitement, leur accessibilité dans son pays d</w:t>
      </w:r>
      <w:r w:rsidR="00A66252" w:rsidRPr="00A66252">
        <w:rPr>
          <w:rFonts w:ascii="Times New Roman" w:hAnsi="Times New Roman" w:cs="Times New Roman"/>
          <w:lang w:val="fr-FR"/>
        </w:rPr>
        <w:t>’</w:t>
      </w:r>
      <w:r w:rsidRPr="00A66252">
        <w:rPr>
          <w:rFonts w:ascii="Times New Roman" w:hAnsi="Times New Roman" w:cs="Times New Roman"/>
          <w:lang w:val="fr-FR"/>
        </w:rPr>
        <w:t>origine ou dans le pays où il séjourne et de la maladie, son degré de gravité et le traitement estimé nécessaire indiqués dans le certificat médical, est effectuée par un fonctionnaire médecin ou un médecin désigné par le ministre ou son délégué qui rend un avis à ce sujet. Ce médecin peut, s</w:t>
      </w:r>
      <w:r w:rsidR="00A66252" w:rsidRPr="00A66252">
        <w:rPr>
          <w:rFonts w:ascii="Times New Roman" w:hAnsi="Times New Roman" w:cs="Times New Roman"/>
          <w:lang w:val="fr-FR"/>
        </w:rPr>
        <w:t>’</w:t>
      </w:r>
      <w:r w:rsidRPr="00A66252">
        <w:rPr>
          <w:rFonts w:ascii="Times New Roman" w:hAnsi="Times New Roman" w:cs="Times New Roman"/>
          <w:lang w:val="fr-FR"/>
        </w:rPr>
        <w:t>il l</w:t>
      </w:r>
      <w:r w:rsidR="00A66252" w:rsidRPr="00A66252">
        <w:rPr>
          <w:rFonts w:ascii="Times New Roman" w:hAnsi="Times New Roman" w:cs="Times New Roman"/>
          <w:lang w:val="fr-FR"/>
        </w:rPr>
        <w:t>’</w:t>
      </w:r>
      <w:r w:rsidRPr="00A66252">
        <w:rPr>
          <w:rFonts w:ascii="Times New Roman" w:hAnsi="Times New Roman" w:cs="Times New Roman"/>
          <w:lang w:val="fr-FR"/>
        </w:rPr>
        <w:t>estime nécessaire, examiner l</w:t>
      </w:r>
      <w:r w:rsidR="00A66252" w:rsidRPr="00A66252">
        <w:rPr>
          <w:rFonts w:ascii="Times New Roman" w:hAnsi="Times New Roman" w:cs="Times New Roman"/>
          <w:lang w:val="fr-FR"/>
        </w:rPr>
        <w:t>’</w:t>
      </w:r>
      <w:r w:rsidRPr="00A66252">
        <w:rPr>
          <w:rFonts w:ascii="Times New Roman" w:hAnsi="Times New Roman" w:cs="Times New Roman"/>
          <w:lang w:val="fr-FR"/>
        </w:rPr>
        <w:t>étranger et demander l</w:t>
      </w:r>
      <w:r w:rsidR="00A66252" w:rsidRPr="00A66252">
        <w:rPr>
          <w:rFonts w:ascii="Times New Roman" w:hAnsi="Times New Roman" w:cs="Times New Roman"/>
          <w:lang w:val="fr-FR"/>
        </w:rPr>
        <w:t>’</w:t>
      </w:r>
      <w:r w:rsidRPr="00A66252">
        <w:rPr>
          <w:rFonts w:ascii="Times New Roman" w:hAnsi="Times New Roman" w:cs="Times New Roman"/>
          <w:lang w:val="fr-FR"/>
        </w:rPr>
        <w:t>avis complémentaire d</w:t>
      </w:r>
      <w:r w:rsidR="00A66252" w:rsidRPr="00A66252">
        <w:rPr>
          <w:rFonts w:ascii="Times New Roman" w:hAnsi="Times New Roman" w:cs="Times New Roman"/>
          <w:lang w:val="fr-FR"/>
        </w:rPr>
        <w:t>’</w:t>
      </w:r>
      <w:r w:rsidRPr="00A66252">
        <w:rPr>
          <w:rFonts w:ascii="Times New Roman" w:hAnsi="Times New Roman" w:cs="Times New Roman"/>
          <w:lang w:val="fr-FR"/>
        </w:rPr>
        <w:t>experts. »</w:t>
      </w:r>
    </w:p>
    <w:p w:rsidR="00FF2102" w:rsidRPr="00A66252" w:rsidRDefault="00FF2102" w:rsidP="00A66252">
      <w:pPr>
        <w:pStyle w:val="ECHRPara"/>
        <w:rPr>
          <w:rFonts w:cstheme="minorHAnsi"/>
          <w:lang w:val="fr-FR"/>
        </w:rPr>
      </w:pPr>
      <w:r w:rsidRPr="00A66252">
        <w:rPr>
          <w:rFonts w:ascii="Times New Roman" w:hAnsi="Times New Roman" w:cs="Times New Roman"/>
          <w:lang w:val="fr-FR"/>
        </w:rPr>
        <w:lastRenderedPageBreak/>
        <w:fldChar w:fldCharType="begin"/>
      </w:r>
      <w:r w:rsidRPr="00A66252">
        <w:rPr>
          <w:rFonts w:ascii="Times New Roman" w:hAnsi="Times New Roman" w:cs="Times New Roman"/>
          <w:lang w:val="fr-FR"/>
        </w:rPr>
        <w:instrText xml:space="preserve"> SEQ level0 \*arabic </w:instrText>
      </w:r>
      <w:r w:rsidRPr="00A66252">
        <w:rPr>
          <w:rFonts w:ascii="Times New Roman" w:hAnsi="Times New Roman" w:cs="Times New Roman"/>
          <w:lang w:val="fr-FR"/>
        </w:rPr>
        <w:fldChar w:fldCharType="separate"/>
      </w:r>
      <w:r w:rsidR="00A66252" w:rsidRPr="00A66252">
        <w:rPr>
          <w:rFonts w:ascii="Times New Roman" w:hAnsi="Times New Roman" w:cs="Times New Roman"/>
          <w:noProof/>
          <w:lang w:val="fr-FR"/>
        </w:rPr>
        <w:t>96</w:t>
      </w:r>
      <w:r w:rsidRPr="00A66252">
        <w:rPr>
          <w:rFonts w:ascii="Times New Roman" w:hAnsi="Times New Roman" w:cs="Times New Roman"/>
          <w:lang w:val="fr-FR"/>
        </w:rPr>
        <w:fldChar w:fldCharType="end"/>
      </w:r>
      <w:r w:rsidRPr="00A66252">
        <w:rPr>
          <w:rFonts w:ascii="Times New Roman" w:hAnsi="Times New Roman" w:cs="Times New Roman"/>
          <w:lang w:val="fr-FR"/>
        </w:rPr>
        <w:t>.  </w:t>
      </w:r>
      <w:r w:rsidRPr="00A66252">
        <w:rPr>
          <w:rFonts w:eastAsiaTheme="minorHAnsi" w:cstheme="minorHAnsi"/>
          <w:lang w:val="fr-FR"/>
        </w:rPr>
        <w:t>La procédure d</w:t>
      </w:r>
      <w:r w:rsidR="00A66252" w:rsidRPr="00A66252">
        <w:rPr>
          <w:rFonts w:eastAsiaTheme="minorHAnsi" w:cstheme="minorHAnsi"/>
          <w:lang w:val="fr-FR"/>
        </w:rPr>
        <w:t>’</w:t>
      </w:r>
      <w:r w:rsidRPr="00A66252">
        <w:rPr>
          <w:rFonts w:eastAsiaTheme="minorHAnsi" w:cstheme="minorHAnsi"/>
          <w:lang w:val="fr-FR"/>
        </w:rPr>
        <w:t xml:space="preserve">examen de la demande de régularisation se déroule en </w:t>
      </w:r>
      <w:r w:rsidRPr="00A66252">
        <w:rPr>
          <w:lang w:val="fr-FR"/>
        </w:rPr>
        <w:t xml:space="preserve">deux phases. La première phase consiste en un examen de la recevabilité de cette demande, par </w:t>
      </w:r>
      <w:r w:rsidR="00441E73" w:rsidRPr="00A66252">
        <w:rPr>
          <w:lang w:val="fr-FR"/>
        </w:rPr>
        <w:t xml:space="preserve">un fonctionnaire de </w:t>
      </w:r>
      <w:r w:rsidRPr="00A66252">
        <w:rPr>
          <w:lang w:val="fr-FR"/>
        </w:rPr>
        <w:t>l</w:t>
      </w:r>
      <w:r w:rsidR="00A66252" w:rsidRPr="00A66252">
        <w:rPr>
          <w:lang w:val="fr-FR"/>
        </w:rPr>
        <w:t>’</w:t>
      </w:r>
      <w:r w:rsidRPr="00A66252">
        <w:rPr>
          <w:lang w:val="fr-FR"/>
        </w:rPr>
        <w:t xml:space="preserve">OE, notamment quant aux mentions devant figurer sur le certificat médical (indication </w:t>
      </w:r>
      <w:r w:rsidRPr="00A66252">
        <w:rPr>
          <w:rFonts w:eastAsiaTheme="minorHAnsi"/>
          <w:lang w:val="fr-FR"/>
        </w:rPr>
        <w:t>de la maladie, de son degré de gravité et du traitement estimé nécessaire)</w:t>
      </w:r>
      <w:r w:rsidRPr="00A66252">
        <w:rPr>
          <w:lang w:val="fr-FR"/>
        </w:rPr>
        <w:t>. À cet égard, l</w:t>
      </w:r>
      <w:r w:rsidRPr="00A66252">
        <w:rPr>
          <w:rFonts w:cstheme="minorHAnsi"/>
          <w:lang w:val="fr-FR"/>
        </w:rPr>
        <w:t>e CCE a expliqué que « la volonté [du législateur] de clarifier la procédure serait mise à mal s</w:t>
      </w:r>
      <w:r w:rsidR="00A66252" w:rsidRPr="00A66252">
        <w:rPr>
          <w:rFonts w:cstheme="minorHAnsi"/>
          <w:lang w:val="fr-FR"/>
        </w:rPr>
        <w:t>’</w:t>
      </w:r>
      <w:r w:rsidRPr="00A66252">
        <w:rPr>
          <w:rFonts w:cstheme="minorHAnsi"/>
          <w:lang w:val="fr-FR"/>
        </w:rPr>
        <w:t>il était demandé à [l</w:t>
      </w:r>
      <w:r w:rsidR="00A66252" w:rsidRPr="00A66252">
        <w:rPr>
          <w:rFonts w:cstheme="minorHAnsi"/>
          <w:lang w:val="fr-FR"/>
        </w:rPr>
        <w:t>’</w:t>
      </w:r>
      <w:r w:rsidRPr="00A66252">
        <w:rPr>
          <w:rFonts w:cstheme="minorHAnsi"/>
          <w:lang w:val="fr-FR"/>
        </w:rPr>
        <w:t>OE] de se livrer à un examen approfondi de tout certificat médical produit et des pièces qui lui sont jointes, afin d</w:t>
      </w:r>
      <w:r w:rsidR="00A66252" w:rsidRPr="00A66252">
        <w:rPr>
          <w:rFonts w:cstheme="minorHAnsi"/>
          <w:lang w:val="fr-FR"/>
        </w:rPr>
        <w:t>’</w:t>
      </w:r>
      <w:r w:rsidRPr="00A66252">
        <w:rPr>
          <w:rFonts w:cstheme="minorHAnsi"/>
          <w:lang w:val="fr-FR"/>
        </w:rPr>
        <w:t>en déduire la nature de la maladie, le degré de gravité de celle-ci ou le traitement estimé nécessaire, alors que le [fonctionnaire compétent] n</w:t>
      </w:r>
      <w:r w:rsidR="00A66252" w:rsidRPr="00A66252">
        <w:rPr>
          <w:rFonts w:cstheme="minorHAnsi"/>
          <w:lang w:val="fr-FR"/>
        </w:rPr>
        <w:t>’</w:t>
      </w:r>
      <w:r w:rsidRPr="00A66252">
        <w:rPr>
          <w:rFonts w:cstheme="minorHAnsi"/>
          <w:lang w:val="fr-FR"/>
        </w:rPr>
        <w:t xml:space="preserve">est ni un médecin fonctionnaire, ni un autre médecin désigné » (voir, notamment, CCE, </w:t>
      </w:r>
      <w:r w:rsidR="00555C46" w:rsidRPr="00A66252">
        <w:rPr>
          <w:rFonts w:cstheme="minorHAnsi"/>
          <w:lang w:val="fr-FR"/>
        </w:rPr>
        <w:t xml:space="preserve">arrêt </w:t>
      </w:r>
      <w:r w:rsidRPr="00A66252">
        <w:rPr>
          <w:rFonts w:cstheme="minorHAnsi"/>
          <w:lang w:val="fr-FR"/>
        </w:rPr>
        <w:t>n</w:t>
      </w:r>
      <w:r w:rsidRPr="00A66252">
        <w:rPr>
          <w:rFonts w:cstheme="minorHAnsi"/>
          <w:vertAlign w:val="superscript"/>
          <w:lang w:val="fr-FR"/>
        </w:rPr>
        <w:t>o</w:t>
      </w:r>
      <w:r w:rsidR="00555C46" w:rsidRPr="00A66252">
        <w:rPr>
          <w:rFonts w:cstheme="minorHAnsi"/>
          <w:lang w:val="fr-FR"/>
        </w:rPr>
        <w:t xml:space="preserve"> 69.508</w:t>
      </w:r>
      <w:r w:rsidRPr="00A66252">
        <w:rPr>
          <w:rFonts w:cstheme="minorHAnsi"/>
          <w:lang w:val="fr-FR"/>
        </w:rPr>
        <w:t xml:space="preserve"> du 28 octobre 2011). </w:t>
      </w:r>
      <w:r w:rsidRPr="00A66252">
        <w:rPr>
          <w:lang w:val="fr-FR"/>
        </w:rPr>
        <w:t>La seconde phase, dans laquelle n</w:t>
      </w:r>
      <w:r w:rsidR="00A66252" w:rsidRPr="00A66252">
        <w:rPr>
          <w:lang w:val="fr-FR"/>
        </w:rPr>
        <w:t>’</w:t>
      </w:r>
      <w:r w:rsidRPr="00A66252">
        <w:rPr>
          <w:lang w:val="fr-FR"/>
        </w:rPr>
        <w:t xml:space="preserve">entrent que les demandes estimées recevables, consiste en une </w:t>
      </w:r>
      <w:r w:rsidR="00214DD2" w:rsidRPr="00A66252">
        <w:rPr>
          <w:lang w:val="fr-FR"/>
        </w:rPr>
        <w:t>évaluation complète de la situation de santé de l</w:t>
      </w:r>
      <w:r w:rsidR="00A66252" w:rsidRPr="00A66252">
        <w:rPr>
          <w:lang w:val="fr-FR"/>
        </w:rPr>
        <w:t>’</w:t>
      </w:r>
      <w:r w:rsidR="00214DD2" w:rsidRPr="00A66252">
        <w:rPr>
          <w:lang w:val="fr-FR"/>
        </w:rPr>
        <w:t>intéressé et l</w:t>
      </w:r>
      <w:r w:rsidR="00A66252" w:rsidRPr="00A66252">
        <w:rPr>
          <w:lang w:val="fr-FR"/>
        </w:rPr>
        <w:t>’</w:t>
      </w:r>
      <w:r w:rsidRPr="00A66252">
        <w:rPr>
          <w:lang w:val="fr-FR"/>
        </w:rPr>
        <w:t>appréciation au fond des éléments énumérés par la loi, par l</w:t>
      </w:r>
      <w:r w:rsidR="00A66252" w:rsidRPr="00A66252">
        <w:rPr>
          <w:lang w:val="fr-FR"/>
        </w:rPr>
        <w:t>’</w:t>
      </w:r>
      <w:r w:rsidRPr="00A66252">
        <w:rPr>
          <w:lang w:val="fr-FR"/>
        </w:rPr>
        <w:t>OE sur la base d</w:t>
      </w:r>
      <w:r w:rsidR="00A66252" w:rsidRPr="00A66252">
        <w:rPr>
          <w:lang w:val="fr-FR"/>
        </w:rPr>
        <w:t>’</w:t>
      </w:r>
      <w:r w:rsidRPr="00A66252">
        <w:rPr>
          <w:lang w:val="fr-FR"/>
        </w:rPr>
        <w:t>un avis donné par un fonctionnaire médecin ou un autre médecin désigné.</w:t>
      </w:r>
    </w:p>
    <w:p w:rsidR="00912274" w:rsidRPr="00A66252" w:rsidRDefault="00FF2102" w:rsidP="00A66252">
      <w:pPr>
        <w:pStyle w:val="ECHRPara"/>
        <w:rPr>
          <w:rFonts w:ascii="Times New Roman" w:hAnsi="Times New Roman" w:cs="Times New Roman"/>
          <w:lang w:val="fr-FR"/>
        </w:rPr>
      </w:pPr>
      <w:r w:rsidRPr="00A66252">
        <w:rPr>
          <w:rFonts w:ascii="Times New Roman" w:hAnsi="Times New Roman" w:cs="Times New Roman"/>
          <w:lang w:val="fr-FR"/>
        </w:rPr>
        <w:fldChar w:fldCharType="begin"/>
      </w:r>
      <w:r w:rsidRPr="00A66252">
        <w:rPr>
          <w:rFonts w:ascii="Times New Roman" w:hAnsi="Times New Roman" w:cs="Times New Roman"/>
          <w:lang w:val="fr-FR"/>
        </w:rPr>
        <w:instrText xml:space="preserve"> SEQ level0 \*arabic </w:instrText>
      </w:r>
      <w:r w:rsidRPr="00A66252">
        <w:rPr>
          <w:rFonts w:ascii="Times New Roman" w:hAnsi="Times New Roman" w:cs="Times New Roman"/>
          <w:lang w:val="fr-FR"/>
        </w:rPr>
        <w:fldChar w:fldCharType="separate"/>
      </w:r>
      <w:r w:rsidR="00A66252" w:rsidRPr="00A66252">
        <w:rPr>
          <w:rFonts w:ascii="Times New Roman" w:hAnsi="Times New Roman" w:cs="Times New Roman"/>
          <w:noProof/>
          <w:lang w:val="fr-FR"/>
        </w:rPr>
        <w:t>97</w:t>
      </w:r>
      <w:r w:rsidRPr="00A66252">
        <w:rPr>
          <w:rFonts w:ascii="Times New Roman" w:hAnsi="Times New Roman" w:cs="Times New Roman"/>
          <w:lang w:val="fr-FR"/>
        </w:rPr>
        <w:fldChar w:fldCharType="end"/>
      </w:r>
      <w:r w:rsidRPr="00A66252">
        <w:rPr>
          <w:rFonts w:ascii="Times New Roman" w:hAnsi="Times New Roman" w:cs="Times New Roman"/>
          <w:lang w:val="fr-FR"/>
        </w:rPr>
        <w:t>.  </w:t>
      </w:r>
      <w:r w:rsidR="00912274" w:rsidRPr="00A66252">
        <w:rPr>
          <w:rFonts w:ascii="Times New Roman" w:hAnsi="Times New Roman" w:cs="Times New Roman"/>
          <w:lang w:val="fr-FR"/>
        </w:rPr>
        <w:t>Il ressort des travaux préparatoires de l</w:t>
      </w:r>
      <w:r w:rsidR="00A66252" w:rsidRPr="00A66252">
        <w:rPr>
          <w:rFonts w:ascii="Times New Roman" w:hAnsi="Times New Roman" w:cs="Times New Roman"/>
          <w:lang w:val="fr-FR"/>
        </w:rPr>
        <w:t>’</w:t>
      </w:r>
      <w:r w:rsidR="00912274" w:rsidRPr="00A66252">
        <w:rPr>
          <w:rFonts w:ascii="Times New Roman" w:hAnsi="Times New Roman" w:cs="Times New Roman"/>
          <w:lang w:val="fr-FR"/>
        </w:rPr>
        <w:t>article 9</w:t>
      </w:r>
      <w:r w:rsidR="00912274" w:rsidRPr="00A66252">
        <w:rPr>
          <w:rFonts w:ascii="Times New Roman" w:hAnsi="Times New Roman" w:cs="Times New Roman"/>
          <w:i/>
          <w:lang w:val="fr-FR"/>
        </w:rPr>
        <w:t>ter</w:t>
      </w:r>
      <w:r w:rsidR="00912274" w:rsidRPr="00A66252">
        <w:rPr>
          <w:rFonts w:ascii="Times New Roman" w:hAnsi="Times New Roman" w:cs="Times New Roman"/>
          <w:lang w:val="fr-FR"/>
        </w:rPr>
        <w:t xml:space="preserve"> que l</w:t>
      </w:r>
      <w:r w:rsidR="00A66252" w:rsidRPr="00A66252">
        <w:rPr>
          <w:rFonts w:ascii="Times New Roman" w:hAnsi="Times New Roman" w:cs="Times New Roman"/>
          <w:lang w:val="fr-FR"/>
        </w:rPr>
        <w:t>’</w:t>
      </w:r>
      <w:r w:rsidR="00912274" w:rsidRPr="00A66252">
        <w:rPr>
          <w:rFonts w:ascii="Times New Roman" w:hAnsi="Times New Roman" w:cs="Times New Roman"/>
          <w:lang w:val="fr-FR"/>
        </w:rPr>
        <w:t>examen de la question de savoir s</w:t>
      </w:r>
      <w:r w:rsidR="00A66252" w:rsidRPr="00A66252">
        <w:rPr>
          <w:rFonts w:ascii="Times New Roman" w:hAnsi="Times New Roman" w:cs="Times New Roman"/>
          <w:lang w:val="fr-FR"/>
        </w:rPr>
        <w:t>’</w:t>
      </w:r>
      <w:r w:rsidR="00912274" w:rsidRPr="00A66252">
        <w:rPr>
          <w:rFonts w:ascii="Times New Roman" w:hAnsi="Times New Roman" w:cs="Times New Roman"/>
          <w:lang w:val="fr-FR"/>
        </w:rPr>
        <w:t xml:space="preserve">il existe un traitement </w:t>
      </w:r>
      <w:r w:rsidR="0045569B" w:rsidRPr="00A66252">
        <w:rPr>
          <w:rFonts w:ascii="Times New Roman" w:hAnsi="Times New Roman" w:cs="Times New Roman"/>
          <w:lang w:val="fr-FR"/>
        </w:rPr>
        <w:t>adéquat</w:t>
      </w:r>
      <w:r w:rsidR="00912274" w:rsidRPr="00A66252">
        <w:rPr>
          <w:rFonts w:ascii="Times New Roman" w:hAnsi="Times New Roman" w:cs="Times New Roman"/>
          <w:lang w:val="fr-FR"/>
        </w:rPr>
        <w:t xml:space="preserve"> et suffisamment accessible dans le pays </w:t>
      </w:r>
      <w:r w:rsidR="00712647" w:rsidRPr="00A66252">
        <w:rPr>
          <w:rFonts w:ascii="Times New Roman" w:hAnsi="Times New Roman" w:cs="Times New Roman"/>
          <w:lang w:val="fr-FR"/>
        </w:rPr>
        <w:t>de destination</w:t>
      </w:r>
      <w:r w:rsidR="00912274" w:rsidRPr="00A66252">
        <w:rPr>
          <w:rFonts w:ascii="Times New Roman" w:hAnsi="Times New Roman" w:cs="Times New Roman"/>
          <w:lang w:val="fr-FR"/>
        </w:rPr>
        <w:t xml:space="preserve"> se fait au cas par cas, en tenant compte de la situation individuelle du demandeur, évaluée dans les limites de la jurisprudence de la Cour (</w:t>
      </w:r>
      <w:r w:rsidR="008250BE" w:rsidRPr="00A66252">
        <w:rPr>
          <w:rFonts w:ascii="Times New Roman" w:hAnsi="Times New Roman" w:cs="Times New Roman"/>
          <w:lang w:val="fr-FR"/>
        </w:rPr>
        <w:t>exposé des motifs</w:t>
      </w:r>
      <w:r w:rsidR="00912274" w:rsidRPr="00A66252">
        <w:rPr>
          <w:rFonts w:ascii="Times New Roman" w:hAnsi="Times New Roman" w:cs="Times New Roman"/>
          <w:lang w:val="fr-FR"/>
        </w:rPr>
        <w:t xml:space="preserve">, </w:t>
      </w:r>
      <w:r w:rsidR="00912274" w:rsidRPr="00A66252">
        <w:rPr>
          <w:rFonts w:ascii="Times New Roman" w:hAnsi="Times New Roman" w:cs="Times New Roman"/>
          <w:i/>
          <w:lang w:val="fr-FR"/>
        </w:rPr>
        <w:t xml:space="preserve">Doc. </w:t>
      </w:r>
      <w:proofErr w:type="spellStart"/>
      <w:r w:rsidR="00912274" w:rsidRPr="00A66252">
        <w:rPr>
          <w:rFonts w:ascii="Times New Roman" w:hAnsi="Times New Roman" w:cs="Times New Roman"/>
          <w:i/>
          <w:lang w:val="fr-FR"/>
        </w:rPr>
        <w:t>Parl</w:t>
      </w:r>
      <w:proofErr w:type="spellEnd"/>
      <w:r w:rsidR="00912274" w:rsidRPr="00A66252">
        <w:rPr>
          <w:rFonts w:ascii="Times New Roman" w:hAnsi="Times New Roman" w:cs="Times New Roman"/>
          <w:i/>
          <w:lang w:val="fr-FR"/>
        </w:rPr>
        <w:t>.</w:t>
      </w:r>
      <w:r w:rsidR="00B32D6C" w:rsidRPr="00A66252">
        <w:rPr>
          <w:rFonts w:ascii="Times New Roman" w:hAnsi="Times New Roman" w:cs="Times New Roman"/>
          <w:lang w:val="fr-FR"/>
        </w:rPr>
        <w:t>, 2005-06, n</w:t>
      </w:r>
      <w:r w:rsidR="009472B8" w:rsidRPr="00A66252">
        <w:rPr>
          <w:rFonts w:ascii="Times New Roman" w:hAnsi="Times New Roman" w:cs="Times New Roman"/>
          <w:vertAlign w:val="superscript"/>
          <w:lang w:val="fr-FR"/>
        </w:rPr>
        <w:t>o</w:t>
      </w:r>
      <w:r w:rsidR="00B32D6C" w:rsidRPr="00A66252">
        <w:rPr>
          <w:rFonts w:ascii="Times New Roman" w:hAnsi="Times New Roman" w:cs="Times New Roman"/>
          <w:lang w:val="fr-FR"/>
        </w:rPr>
        <w:t> </w:t>
      </w:r>
      <w:r w:rsidR="00912274" w:rsidRPr="00A66252">
        <w:rPr>
          <w:rFonts w:ascii="Times New Roman" w:hAnsi="Times New Roman" w:cs="Times New Roman"/>
          <w:lang w:val="fr-FR"/>
        </w:rPr>
        <w:t>51-2478/1, p. 35).</w:t>
      </w:r>
    </w:p>
    <w:p w:rsidR="00214DD2" w:rsidRPr="00A66252" w:rsidRDefault="00214DD2"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98</w:t>
      </w:r>
      <w:r w:rsidRPr="00A66252">
        <w:rPr>
          <w:lang w:val="fr-FR"/>
        </w:rPr>
        <w:fldChar w:fldCharType="end"/>
      </w:r>
      <w:r w:rsidRPr="00A66252">
        <w:rPr>
          <w:lang w:val="fr-FR"/>
        </w:rPr>
        <w:t>.  Si la demande est déclarée fondée, un titre de séjour d</w:t>
      </w:r>
      <w:r w:rsidR="00A66252" w:rsidRPr="00A66252">
        <w:rPr>
          <w:lang w:val="fr-FR"/>
        </w:rPr>
        <w:t>’</w:t>
      </w:r>
      <w:r w:rsidRPr="00A66252">
        <w:rPr>
          <w:lang w:val="fr-FR"/>
        </w:rPr>
        <w:t>un an est accordé au demandeur. L</w:t>
      </w:r>
      <w:r w:rsidR="00A66252" w:rsidRPr="00A66252">
        <w:rPr>
          <w:lang w:val="fr-FR"/>
        </w:rPr>
        <w:t>’</w:t>
      </w:r>
      <w:r w:rsidRPr="00A66252">
        <w:rPr>
          <w:lang w:val="fr-FR"/>
        </w:rPr>
        <w:t>autorisation de séjour doit être renouvelée chaque année. Cinq ans après l</w:t>
      </w:r>
      <w:r w:rsidR="00A66252" w:rsidRPr="00A66252">
        <w:rPr>
          <w:lang w:val="fr-FR"/>
        </w:rPr>
        <w:t>’</w:t>
      </w:r>
      <w:r w:rsidRPr="00A66252">
        <w:rPr>
          <w:lang w:val="fr-FR"/>
        </w:rPr>
        <w:t>introduction de la demande, le séjour devient définitif et l</w:t>
      </w:r>
      <w:r w:rsidR="00A66252" w:rsidRPr="00A66252">
        <w:rPr>
          <w:lang w:val="fr-FR"/>
        </w:rPr>
        <w:t>’</w:t>
      </w:r>
      <w:r w:rsidRPr="00A66252">
        <w:rPr>
          <w:lang w:val="fr-FR"/>
        </w:rPr>
        <w:t>intéressé reçoit une carte de séjour à durée illimitée.</w:t>
      </w:r>
    </w:p>
    <w:p w:rsidR="00912274" w:rsidRPr="00A66252" w:rsidRDefault="00912274"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99</w:t>
      </w:r>
      <w:r w:rsidRPr="00A66252">
        <w:rPr>
          <w:lang w:val="fr-FR"/>
        </w:rPr>
        <w:fldChar w:fldCharType="end"/>
      </w:r>
      <w:r w:rsidRPr="00A66252">
        <w:rPr>
          <w:lang w:val="fr-FR"/>
        </w:rPr>
        <w:t>.  </w:t>
      </w:r>
      <w:r w:rsidR="00214DD2" w:rsidRPr="00A66252">
        <w:rPr>
          <w:lang w:val="fr-FR"/>
        </w:rPr>
        <w:t>En vertu du paragraphe 4 de l</w:t>
      </w:r>
      <w:r w:rsidR="00A66252" w:rsidRPr="00A66252">
        <w:rPr>
          <w:lang w:val="fr-FR"/>
        </w:rPr>
        <w:t>’</w:t>
      </w:r>
      <w:r w:rsidR="00214DD2" w:rsidRPr="00A66252">
        <w:rPr>
          <w:lang w:val="fr-FR"/>
        </w:rPr>
        <w:t>article 9</w:t>
      </w:r>
      <w:r w:rsidR="00214DD2" w:rsidRPr="00A66252">
        <w:rPr>
          <w:i/>
          <w:lang w:val="fr-FR"/>
        </w:rPr>
        <w:t>ter</w:t>
      </w:r>
      <w:r w:rsidR="00214DD2" w:rsidRPr="00A66252">
        <w:rPr>
          <w:lang w:val="fr-FR"/>
        </w:rPr>
        <w:t xml:space="preserve"> de la loi sur les étrangers, un étranger est exclu du bénéfice de l</w:t>
      </w:r>
      <w:r w:rsidR="00A66252" w:rsidRPr="00A66252">
        <w:rPr>
          <w:lang w:val="fr-FR"/>
        </w:rPr>
        <w:t>’</w:t>
      </w:r>
      <w:r w:rsidR="00214DD2" w:rsidRPr="00A66252">
        <w:rPr>
          <w:lang w:val="fr-FR"/>
        </w:rPr>
        <w:t>article quand il y a des motifs sérieux de considérer qu</w:t>
      </w:r>
      <w:r w:rsidR="00A66252" w:rsidRPr="00A66252">
        <w:rPr>
          <w:lang w:val="fr-FR"/>
        </w:rPr>
        <w:t>’</w:t>
      </w:r>
      <w:r w:rsidR="00214DD2" w:rsidRPr="00A66252">
        <w:rPr>
          <w:lang w:val="fr-FR"/>
        </w:rPr>
        <w:t>il a commis des actes visés à l</w:t>
      </w:r>
      <w:r w:rsidR="00A66252" w:rsidRPr="00A66252">
        <w:rPr>
          <w:lang w:val="fr-FR"/>
        </w:rPr>
        <w:t>’</w:t>
      </w:r>
      <w:r w:rsidR="00214DD2" w:rsidRPr="00A66252">
        <w:rPr>
          <w:lang w:val="fr-FR"/>
        </w:rPr>
        <w:t>article 55/4 de ladite loi ainsi formulé :</w:t>
      </w:r>
    </w:p>
    <w:p w:rsidR="00B36199" w:rsidRPr="00A66252" w:rsidRDefault="00912274" w:rsidP="00A66252">
      <w:pPr>
        <w:pStyle w:val="ECHRParaQuote"/>
        <w:rPr>
          <w:rFonts w:ascii="Times New Roman" w:hAnsi="Times New Roman" w:cs="Times New Roman"/>
          <w:lang w:val="fr-FR"/>
        </w:rPr>
      </w:pPr>
      <w:r w:rsidRPr="00A66252">
        <w:rPr>
          <w:rFonts w:ascii="Times New Roman" w:hAnsi="Times New Roman" w:cs="Times New Roman"/>
          <w:lang w:val="fr-FR"/>
        </w:rPr>
        <w:t>« Un étranger est exclu du statut de protection subsidiaire lorsqu</w:t>
      </w:r>
      <w:r w:rsidR="00A66252" w:rsidRPr="00A66252">
        <w:rPr>
          <w:rFonts w:ascii="Times New Roman" w:hAnsi="Times New Roman" w:cs="Times New Roman"/>
          <w:lang w:val="fr-FR"/>
        </w:rPr>
        <w:t>’</w:t>
      </w:r>
      <w:r w:rsidRPr="00A66252">
        <w:rPr>
          <w:rFonts w:ascii="Times New Roman" w:hAnsi="Times New Roman" w:cs="Times New Roman"/>
          <w:lang w:val="fr-FR"/>
        </w:rPr>
        <w:t>il existe des motifs sérieux de considérer</w:t>
      </w:r>
      <w:r w:rsidR="006D3D76" w:rsidRPr="00A66252">
        <w:rPr>
          <w:rFonts w:ascii="Times New Roman" w:hAnsi="Times New Roman" w:cs="Times New Roman"/>
          <w:lang w:val="fr-FR"/>
        </w:rPr>
        <w:t> </w:t>
      </w:r>
      <w:r w:rsidRPr="00A66252">
        <w:rPr>
          <w:rFonts w:ascii="Times New Roman" w:hAnsi="Times New Roman" w:cs="Times New Roman"/>
          <w:lang w:val="fr-FR"/>
        </w:rPr>
        <w:t>:</w:t>
      </w:r>
    </w:p>
    <w:p w:rsidR="00912274" w:rsidRPr="00A66252" w:rsidRDefault="00276F84" w:rsidP="00A66252">
      <w:pPr>
        <w:pStyle w:val="ECHRParaQuote"/>
        <w:rPr>
          <w:rFonts w:ascii="Times New Roman" w:hAnsi="Times New Roman" w:cs="Times New Roman"/>
          <w:lang w:val="fr-FR"/>
        </w:rPr>
      </w:pPr>
      <w:r w:rsidRPr="00A66252">
        <w:rPr>
          <w:rFonts w:ascii="Times New Roman" w:hAnsi="Times New Roman" w:cs="Times New Roman"/>
          <w:lang w:val="fr-FR"/>
        </w:rPr>
        <w:t>a)  </w:t>
      </w:r>
      <w:r w:rsidR="00912274" w:rsidRPr="00A66252">
        <w:rPr>
          <w:rFonts w:ascii="Times New Roman" w:hAnsi="Times New Roman" w:cs="Times New Roman"/>
          <w:lang w:val="fr-FR"/>
        </w:rPr>
        <w:t>qu</w:t>
      </w:r>
      <w:r w:rsidR="00A66252" w:rsidRPr="00A66252">
        <w:rPr>
          <w:rFonts w:ascii="Times New Roman" w:hAnsi="Times New Roman" w:cs="Times New Roman"/>
          <w:lang w:val="fr-FR"/>
        </w:rPr>
        <w:t>’</w:t>
      </w:r>
      <w:r w:rsidR="00912274" w:rsidRPr="00A66252">
        <w:rPr>
          <w:rFonts w:ascii="Times New Roman" w:hAnsi="Times New Roman" w:cs="Times New Roman"/>
          <w:lang w:val="fr-FR"/>
        </w:rPr>
        <w:t>il a commis un crime contre la paix, un crime de guerre ou un crime contre l</w:t>
      </w:r>
      <w:r w:rsidR="00A66252" w:rsidRPr="00A66252">
        <w:rPr>
          <w:rFonts w:ascii="Times New Roman" w:hAnsi="Times New Roman" w:cs="Times New Roman"/>
          <w:lang w:val="fr-FR"/>
        </w:rPr>
        <w:t>’</w:t>
      </w:r>
      <w:r w:rsidR="00912274" w:rsidRPr="00A66252">
        <w:rPr>
          <w:rFonts w:ascii="Times New Roman" w:hAnsi="Times New Roman" w:cs="Times New Roman"/>
          <w:lang w:val="fr-FR"/>
        </w:rPr>
        <w:t>humanité tels que définis dans les instruments internationaux visant à sanctionner de tels crimes</w:t>
      </w:r>
      <w:r w:rsidR="006D3D76" w:rsidRPr="00A66252">
        <w:rPr>
          <w:rFonts w:ascii="Times New Roman" w:hAnsi="Times New Roman" w:cs="Times New Roman"/>
          <w:lang w:val="fr-FR"/>
        </w:rPr>
        <w:t> </w:t>
      </w:r>
      <w:r w:rsidR="00912274" w:rsidRPr="00A66252">
        <w:rPr>
          <w:rFonts w:ascii="Times New Roman" w:hAnsi="Times New Roman" w:cs="Times New Roman"/>
          <w:lang w:val="fr-FR"/>
        </w:rPr>
        <w:t>;</w:t>
      </w:r>
    </w:p>
    <w:p w:rsidR="00912274" w:rsidRPr="00A66252" w:rsidRDefault="00276F84" w:rsidP="00A66252">
      <w:pPr>
        <w:pStyle w:val="ECHRParaQuote"/>
        <w:rPr>
          <w:rFonts w:ascii="Times New Roman" w:hAnsi="Times New Roman" w:cs="Times New Roman"/>
          <w:lang w:val="fr-FR"/>
        </w:rPr>
      </w:pPr>
      <w:r w:rsidRPr="00A66252">
        <w:rPr>
          <w:rFonts w:ascii="Times New Roman" w:hAnsi="Times New Roman" w:cs="Times New Roman"/>
          <w:lang w:val="fr-FR"/>
        </w:rPr>
        <w:t>b)  </w:t>
      </w:r>
      <w:r w:rsidR="00912274" w:rsidRPr="00A66252">
        <w:rPr>
          <w:rFonts w:ascii="Times New Roman" w:hAnsi="Times New Roman" w:cs="Times New Roman"/>
          <w:lang w:val="fr-FR"/>
        </w:rPr>
        <w:t>qu</w:t>
      </w:r>
      <w:r w:rsidR="00A66252" w:rsidRPr="00A66252">
        <w:rPr>
          <w:rFonts w:ascii="Times New Roman" w:hAnsi="Times New Roman" w:cs="Times New Roman"/>
          <w:lang w:val="fr-FR"/>
        </w:rPr>
        <w:t>’</w:t>
      </w:r>
      <w:r w:rsidR="00912274" w:rsidRPr="00A66252">
        <w:rPr>
          <w:rFonts w:ascii="Times New Roman" w:hAnsi="Times New Roman" w:cs="Times New Roman"/>
          <w:lang w:val="fr-FR"/>
        </w:rPr>
        <w:t>il s</w:t>
      </w:r>
      <w:r w:rsidR="00A66252" w:rsidRPr="00A66252">
        <w:rPr>
          <w:rFonts w:ascii="Times New Roman" w:hAnsi="Times New Roman" w:cs="Times New Roman"/>
          <w:lang w:val="fr-FR"/>
        </w:rPr>
        <w:t>’</w:t>
      </w:r>
      <w:r w:rsidR="00912274" w:rsidRPr="00A66252">
        <w:rPr>
          <w:rFonts w:ascii="Times New Roman" w:hAnsi="Times New Roman" w:cs="Times New Roman"/>
          <w:lang w:val="fr-FR"/>
        </w:rPr>
        <w:t>est rendu coupable d</w:t>
      </w:r>
      <w:r w:rsidR="00A66252" w:rsidRPr="00A66252">
        <w:rPr>
          <w:rFonts w:ascii="Times New Roman" w:hAnsi="Times New Roman" w:cs="Times New Roman"/>
          <w:lang w:val="fr-FR"/>
        </w:rPr>
        <w:t>’</w:t>
      </w:r>
      <w:r w:rsidR="00912274" w:rsidRPr="00A66252">
        <w:rPr>
          <w:rFonts w:ascii="Times New Roman" w:hAnsi="Times New Roman" w:cs="Times New Roman"/>
          <w:lang w:val="fr-FR"/>
        </w:rPr>
        <w:t>agissements contraires aux buts et aux principes des Nations unies tels qu</w:t>
      </w:r>
      <w:r w:rsidR="00A66252" w:rsidRPr="00A66252">
        <w:rPr>
          <w:rFonts w:ascii="Times New Roman" w:hAnsi="Times New Roman" w:cs="Times New Roman"/>
          <w:lang w:val="fr-FR"/>
        </w:rPr>
        <w:t>’</w:t>
      </w:r>
      <w:r w:rsidR="00912274" w:rsidRPr="00A66252">
        <w:rPr>
          <w:rFonts w:ascii="Times New Roman" w:hAnsi="Times New Roman" w:cs="Times New Roman"/>
          <w:lang w:val="fr-FR"/>
        </w:rPr>
        <w:t>ils sont énoncés dans le préambule et aux articles 1 et 2 de la Charte des Nations unies</w:t>
      </w:r>
      <w:r w:rsidR="006D3D76" w:rsidRPr="00A66252">
        <w:rPr>
          <w:rFonts w:ascii="Times New Roman" w:hAnsi="Times New Roman" w:cs="Times New Roman"/>
          <w:lang w:val="fr-FR"/>
        </w:rPr>
        <w:t> </w:t>
      </w:r>
      <w:r w:rsidR="00912274" w:rsidRPr="00A66252">
        <w:rPr>
          <w:rFonts w:ascii="Times New Roman" w:hAnsi="Times New Roman" w:cs="Times New Roman"/>
          <w:lang w:val="fr-FR"/>
        </w:rPr>
        <w:t>;</w:t>
      </w:r>
    </w:p>
    <w:p w:rsidR="00912274" w:rsidRPr="00A66252" w:rsidRDefault="00276F84" w:rsidP="00A66252">
      <w:pPr>
        <w:pStyle w:val="ECHRParaQuote"/>
        <w:rPr>
          <w:rFonts w:ascii="Times New Roman" w:hAnsi="Times New Roman" w:cs="Times New Roman"/>
          <w:lang w:val="fr-FR"/>
        </w:rPr>
      </w:pPr>
      <w:r w:rsidRPr="00A66252">
        <w:rPr>
          <w:rFonts w:ascii="Times New Roman" w:hAnsi="Times New Roman" w:cs="Times New Roman"/>
          <w:lang w:val="fr-FR"/>
        </w:rPr>
        <w:t>c)  </w:t>
      </w:r>
      <w:r w:rsidR="00912274" w:rsidRPr="00A66252">
        <w:rPr>
          <w:rFonts w:ascii="Times New Roman" w:hAnsi="Times New Roman" w:cs="Times New Roman"/>
          <w:lang w:val="fr-FR"/>
        </w:rPr>
        <w:t>qu</w:t>
      </w:r>
      <w:r w:rsidR="00A66252" w:rsidRPr="00A66252">
        <w:rPr>
          <w:rFonts w:ascii="Times New Roman" w:hAnsi="Times New Roman" w:cs="Times New Roman"/>
          <w:lang w:val="fr-FR"/>
        </w:rPr>
        <w:t>’</w:t>
      </w:r>
      <w:r w:rsidR="00912274" w:rsidRPr="00A66252">
        <w:rPr>
          <w:rFonts w:ascii="Times New Roman" w:hAnsi="Times New Roman" w:cs="Times New Roman"/>
          <w:lang w:val="fr-FR"/>
        </w:rPr>
        <w:t>il a commis un crime grave.</w:t>
      </w:r>
    </w:p>
    <w:p w:rsidR="00912274" w:rsidRPr="00A66252" w:rsidRDefault="00912274" w:rsidP="00A66252">
      <w:pPr>
        <w:pStyle w:val="ECHRParaQuote"/>
        <w:rPr>
          <w:rFonts w:ascii="Times New Roman" w:hAnsi="Times New Roman" w:cs="Times New Roman"/>
          <w:lang w:val="fr-FR"/>
        </w:rPr>
      </w:pPr>
      <w:r w:rsidRPr="00A66252">
        <w:rPr>
          <w:rFonts w:ascii="Times New Roman" w:hAnsi="Times New Roman" w:cs="Times New Roman"/>
          <w:lang w:val="fr-FR"/>
        </w:rPr>
        <w:t>L</w:t>
      </w:r>
      <w:r w:rsidR="00A66252" w:rsidRPr="00A66252">
        <w:rPr>
          <w:rFonts w:ascii="Times New Roman" w:hAnsi="Times New Roman" w:cs="Times New Roman"/>
          <w:lang w:val="fr-FR"/>
        </w:rPr>
        <w:t>’</w:t>
      </w:r>
      <w:r w:rsidRPr="00A66252">
        <w:rPr>
          <w:rFonts w:ascii="Times New Roman" w:hAnsi="Times New Roman" w:cs="Times New Roman"/>
          <w:lang w:val="fr-FR"/>
        </w:rPr>
        <w:t>alinéa 1</w:t>
      </w:r>
      <w:r w:rsidRPr="00A66252">
        <w:rPr>
          <w:rFonts w:ascii="Times New Roman" w:hAnsi="Times New Roman" w:cs="Times New Roman"/>
          <w:vertAlign w:val="superscript"/>
          <w:lang w:val="fr-FR"/>
        </w:rPr>
        <w:t>er</w:t>
      </w:r>
      <w:r w:rsidRPr="00A66252">
        <w:rPr>
          <w:rFonts w:ascii="Times New Roman" w:hAnsi="Times New Roman" w:cs="Times New Roman"/>
          <w:lang w:val="fr-FR"/>
        </w:rPr>
        <w:t xml:space="preserve"> s</w:t>
      </w:r>
      <w:r w:rsidR="00A66252" w:rsidRPr="00A66252">
        <w:rPr>
          <w:rFonts w:ascii="Times New Roman" w:hAnsi="Times New Roman" w:cs="Times New Roman"/>
          <w:lang w:val="fr-FR"/>
        </w:rPr>
        <w:t>’</w:t>
      </w:r>
      <w:r w:rsidRPr="00A66252">
        <w:rPr>
          <w:rFonts w:ascii="Times New Roman" w:hAnsi="Times New Roman" w:cs="Times New Roman"/>
          <w:lang w:val="fr-FR"/>
        </w:rPr>
        <w:t>applique aux personnes qui sont les instigatrices des crimes ou des actes précités, ou qui y participent de quelque autre manière</w:t>
      </w:r>
      <w:r w:rsidR="00555C46" w:rsidRPr="00A66252">
        <w:rPr>
          <w:rFonts w:ascii="Times New Roman" w:hAnsi="Times New Roman" w:cs="Times New Roman"/>
          <w:lang w:val="fr-FR"/>
        </w:rPr>
        <w:t>.</w:t>
      </w:r>
      <w:r w:rsidRPr="00A66252">
        <w:rPr>
          <w:rFonts w:ascii="Times New Roman" w:hAnsi="Times New Roman" w:cs="Times New Roman"/>
          <w:lang w:val="fr-FR"/>
        </w:rPr>
        <w:t> »</w:t>
      </w:r>
    </w:p>
    <w:p w:rsidR="00D16C82" w:rsidRPr="00A66252" w:rsidRDefault="00214DD2"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100</w:t>
      </w:r>
      <w:r w:rsidRPr="00A66252">
        <w:rPr>
          <w:lang w:val="fr-FR"/>
        </w:rPr>
        <w:fldChar w:fldCharType="end"/>
      </w:r>
      <w:r w:rsidRPr="00A66252">
        <w:rPr>
          <w:lang w:val="fr-FR"/>
        </w:rPr>
        <w:t>.  </w:t>
      </w:r>
      <w:r w:rsidR="00D4368C" w:rsidRPr="00A66252">
        <w:rPr>
          <w:lang w:val="fr-FR"/>
        </w:rPr>
        <w:t>Ainsi qu</w:t>
      </w:r>
      <w:r w:rsidR="00A66252" w:rsidRPr="00A66252">
        <w:rPr>
          <w:lang w:val="fr-FR"/>
        </w:rPr>
        <w:t>’</w:t>
      </w:r>
      <w:r w:rsidR="00D4368C" w:rsidRPr="00A66252">
        <w:rPr>
          <w:lang w:val="fr-FR"/>
        </w:rPr>
        <w:t>il résulte des travaux préparatoires de l</w:t>
      </w:r>
      <w:r w:rsidR="00A66252" w:rsidRPr="00A66252">
        <w:rPr>
          <w:lang w:val="fr-FR"/>
        </w:rPr>
        <w:t>’</w:t>
      </w:r>
      <w:r w:rsidR="00D4368C" w:rsidRPr="00A66252">
        <w:rPr>
          <w:lang w:val="fr-FR"/>
        </w:rPr>
        <w:t>article 9</w:t>
      </w:r>
      <w:r w:rsidR="00D4368C" w:rsidRPr="00A66252">
        <w:rPr>
          <w:i/>
          <w:lang w:val="fr-FR"/>
        </w:rPr>
        <w:t>ter</w:t>
      </w:r>
      <w:r w:rsidR="00D4368C" w:rsidRPr="00A66252">
        <w:rPr>
          <w:lang w:val="fr-FR"/>
        </w:rPr>
        <w:t xml:space="preserve">, </w:t>
      </w:r>
      <w:r w:rsidRPr="00A66252">
        <w:rPr>
          <w:lang w:val="fr-FR"/>
        </w:rPr>
        <w:t>un</w:t>
      </w:r>
      <w:r w:rsidR="00D4368C" w:rsidRPr="00A66252">
        <w:rPr>
          <w:lang w:val="fr-FR"/>
        </w:rPr>
        <w:t xml:space="preserve"> étranger gravement malade qui est exclu du bénéfice de l</w:t>
      </w:r>
      <w:r w:rsidR="00A66252" w:rsidRPr="00A66252">
        <w:rPr>
          <w:lang w:val="fr-FR"/>
        </w:rPr>
        <w:t>’</w:t>
      </w:r>
      <w:r w:rsidR="00D4368C" w:rsidRPr="00A66252">
        <w:rPr>
          <w:lang w:val="fr-FR"/>
        </w:rPr>
        <w:t>article 9</w:t>
      </w:r>
      <w:r w:rsidR="00D4368C" w:rsidRPr="00A66252">
        <w:rPr>
          <w:i/>
          <w:lang w:val="fr-FR"/>
        </w:rPr>
        <w:t>ter</w:t>
      </w:r>
      <w:r w:rsidR="00D4368C" w:rsidRPr="00A66252">
        <w:rPr>
          <w:lang w:val="fr-FR"/>
        </w:rPr>
        <w:t xml:space="preserve"> pour </w:t>
      </w:r>
      <w:r w:rsidR="00D4368C" w:rsidRPr="00A66252">
        <w:rPr>
          <w:lang w:val="fr-FR"/>
        </w:rPr>
        <w:lastRenderedPageBreak/>
        <w:t>un des motifs visés à l</w:t>
      </w:r>
      <w:r w:rsidR="00A66252" w:rsidRPr="00A66252">
        <w:rPr>
          <w:lang w:val="fr-FR"/>
        </w:rPr>
        <w:t>’</w:t>
      </w:r>
      <w:r w:rsidR="00D4368C" w:rsidRPr="00A66252">
        <w:rPr>
          <w:lang w:val="fr-FR"/>
        </w:rPr>
        <w:t>article 55/4 ne sera pas éloigné si son état de santé est sérieux au point que son éloignement constituerait une violation de l</w:t>
      </w:r>
      <w:r w:rsidR="00A66252" w:rsidRPr="00A66252">
        <w:rPr>
          <w:lang w:val="fr-FR"/>
        </w:rPr>
        <w:t>’</w:t>
      </w:r>
      <w:r w:rsidR="006D3D76" w:rsidRPr="00A66252">
        <w:rPr>
          <w:lang w:val="fr-FR"/>
        </w:rPr>
        <w:t>article </w:t>
      </w:r>
      <w:r w:rsidR="00D4368C" w:rsidRPr="00A66252">
        <w:rPr>
          <w:lang w:val="fr-FR"/>
        </w:rPr>
        <w:t>3 de la Convention (</w:t>
      </w:r>
      <w:r w:rsidR="008250BE" w:rsidRPr="00A66252">
        <w:rPr>
          <w:lang w:val="fr-FR"/>
        </w:rPr>
        <w:t>exposé des motifs</w:t>
      </w:r>
      <w:r w:rsidR="00D4368C" w:rsidRPr="00A66252">
        <w:rPr>
          <w:lang w:val="fr-FR"/>
        </w:rPr>
        <w:t xml:space="preserve"> précité, p. 36).</w:t>
      </w:r>
    </w:p>
    <w:p w:rsidR="00D16C82" w:rsidRPr="00A66252" w:rsidRDefault="00D16C82" w:rsidP="00A66252">
      <w:pPr>
        <w:pStyle w:val="ECHRHeading4"/>
        <w:rPr>
          <w:lang w:val="fr-FR"/>
        </w:rPr>
      </w:pPr>
      <w:r w:rsidRPr="00A66252">
        <w:rPr>
          <w:lang w:val="fr-FR"/>
        </w:rPr>
        <w:t>b)</w:t>
      </w:r>
      <w:r w:rsidR="00276F84" w:rsidRPr="00A66252">
        <w:rPr>
          <w:lang w:val="fr-FR"/>
        </w:rPr>
        <w:t>  </w:t>
      </w:r>
      <w:r w:rsidRPr="00A66252">
        <w:rPr>
          <w:lang w:val="fr-FR"/>
        </w:rPr>
        <w:t>L</w:t>
      </w:r>
      <w:r w:rsidR="00A66252" w:rsidRPr="00A66252">
        <w:rPr>
          <w:lang w:val="fr-FR"/>
        </w:rPr>
        <w:t>’</w:t>
      </w:r>
      <w:r w:rsidRPr="00A66252">
        <w:rPr>
          <w:lang w:val="fr-FR"/>
        </w:rPr>
        <w:t>évolution récente de la jurisprudence belge</w:t>
      </w:r>
    </w:p>
    <w:bookmarkStart w:id="26" w:name="JP9TER"/>
    <w:p w:rsidR="007163B3" w:rsidRPr="00A66252" w:rsidRDefault="00912274"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101</w:t>
      </w:r>
      <w:r w:rsidRPr="00A66252">
        <w:rPr>
          <w:lang w:val="fr-FR"/>
        </w:rPr>
        <w:fldChar w:fldCharType="end"/>
      </w:r>
      <w:bookmarkEnd w:id="26"/>
      <w:r w:rsidRPr="00A66252">
        <w:rPr>
          <w:lang w:val="fr-FR"/>
        </w:rPr>
        <w:t>.  La jurisprudence relative à l</w:t>
      </w:r>
      <w:r w:rsidR="00A66252" w:rsidRPr="00A66252">
        <w:rPr>
          <w:lang w:val="fr-FR"/>
        </w:rPr>
        <w:t>’</w:t>
      </w:r>
      <w:r w:rsidRPr="00A66252">
        <w:rPr>
          <w:lang w:val="fr-FR"/>
        </w:rPr>
        <w:t>éloignement des étrangers gravement malades a connu de récents développements. Cette jurisprudence concerne l</w:t>
      </w:r>
      <w:r w:rsidR="00A66252" w:rsidRPr="00A66252">
        <w:rPr>
          <w:lang w:val="fr-FR"/>
        </w:rPr>
        <w:t>’</w:t>
      </w:r>
      <w:r w:rsidRPr="00A66252">
        <w:rPr>
          <w:lang w:val="fr-FR"/>
        </w:rPr>
        <w:t>application de l</w:t>
      </w:r>
      <w:r w:rsidR="00A66252" w:rsidRPr="00A66252">
        <w:rPr>
          <w:lang w:val="fr-FR"/>
        </w:rPr>
        <w:t>’</w:t>
      </w:r>
      <w:r w:rsidRPr="00A66252">
        <w:rPr>
          <w:lang w:val="fr-FR"/>
        </w:rPr>
        <w:t>article 9</w:t>
      </w:r>
      <w:r w:rsidRPr="00A66252">
        <w:rPr>
          <w:i/>
          <w:lang w:val="fr-FR"/>
        </w:rPr>
        <w:t>ter</w:t>
      </w:r>
      <w:r w:rsidRPr="00A66252">
        <w:rPr>
          <w:lang w:val="fr-FR"/>
        </w:rPr>
        <w:t xml:space="preserve"> § 1</w:t>
      </w:r>
      <w:r w:rsidRPr="00A66252">
        <w:rPr>
          <w:vertAlign w:val="superscript"/>
          <w:lang w:val="fr-FR"/>
        </w:rPr>
        <w:t>er</w:t>
      </w:r>
      <w:r w:rsidRPr="00A66252">
        <w:rPr>
          <w:lang w:val="fr-FR"/>
        </w:rPr>
        <w:t xml:space="preserve"> aux étrangers qui n</w:t>
      </w:r>
      <w:r w:rsidR="00A66252" w:rsidRPr="00A66252">
        <w:rPr>
          <w:lang w:val="fr-FR"/>
        </w:rPr>
        <w:t>’</w:t>
      </w:r>
      <w:r w:rsidRPr="00A66252">
        <w:rPr>
          <w:lang w:val="fr-FR"/>
        </w:rPr>
        <w:t xml:space="preserve">ont </w:t>
      </w:r>
      <w:r w:rsidR="00555C46" w:rsidRPr="00A66252">
        <w:rPr>
          <w:lang w:val="fr-FR"/>
        </w:rPr>
        <w:t xml:space="preserve">pas </w:t>
      </w:r>
      <w:r w:rsidRPr="00A66252">
        <w:rPr>
          <w:lang w:val="fr-FR"/>
        </w:rPr>
        <w:t>été exclu</w:t>
      </w:r>
      <w:r w:rsidR="00555C46" w:rsidRPr="00A66252">
        <w:rPr>
          <w:lang w:val="fr-FR"/>
        </w:rPr>
        <w:t>s</w:t>
      </w:r>
      <w:r w:rsidRPr="00A66252">
        <w:rPr>
          <w:lang w:val="fr-FR"/>
        </w:rPr>
        <w:t xml:space="preserve"> </w:t>
      </w:r>
      <w:r w:rsidRPr="00A66252">
        <w:rPr>
          <w:i/>
          <w:lang w:val="fr-FR"/>
        </w:rPr>
        <w:t>a priori</w:t>
      </w:r>
      <w:r w:rsidRPr="00A66252">
        <w:rPr>
          <w:lang w:val="fr-FR"/>
        </w:rPr>
        <w:t xml:space="preserve"> de l</w:t>
      </w:r>
      <w:r w:rsidR="00A66252" w:rsidRPr="00A66252">
        <w:rPr>
          <w:lang w:val="fr-FR"/>
        </w:rPr>
        <w:t>’</w:t>
      </w:r>
      <w:r w:rsidRPr="00A66252">
        <w:rPr>
          <w:lang w:val="fr-FR"/>
        </w:rPr>
        <w:t xml:space="preserve">application de cette disposition. Cette évolution est une réaction </w:t>
      </w:r>
      <w:r w:rsidR="00441E73" w:rsidRPr="00A66252">
        <w:rPr>
          <w:lang w:val="fr-FR"/>
        </w:rPr>
        <w:t xml:space="preserve">à un changement de pratique de </w:t>
      </w:r>
      <w:r w:rsidRPr="00A66252">
        <w:rPr>
          <w:lang w:val="fr-FR"/>
        </w:rPr>
        <w:t>l</w:t>
      </w:r>
      <w:r w:rsidR="00A66252" w:rsidRPr="00A66252">
        <w:rPr>
          <w:lang w:val="fr-FR"/>
        </w:rPr>
        <w:t>’</w:t>
      </w:r>
      <w:r w:rsidRPr="00A66252">
        <w:rPr>
          <w:lang w:val="fr-FR"/>
        </w:rPr>
        <w:t>OE</w:t>
      </w:r>
      <w:r w:rsidR="00441E73" w:rsidRPr="00A66252">
        <w:rPr>
          <w:lang w:val="fr-FR"/>
        </w:rPr>
        <w:t>, intervenu à la suite de l</w:t>
      </w:r>
      <w:r w:rsidR="00A66252" w:rsidRPr="00A66252">
        <w:rPr>
          <w:lang w:val="fr-FR"/>
        </w:rPr>
        <w:t>’</w:t>
      </w:r>
      <w:r w:rsidR="00441E73" w:rsidRPr="00A66252">
        <w:rPr>
          <w:lang w:val="fr-FR"/>
        </w:rPr>
        <w:t>instauration d</w:t>
      </w:r>
      <w:r w:rsidR="00A66252" w:rsidRPr="00A66252">
        <w:rPr>
          <w:lang w:val="fr-FR"/>
        </w:rPr>
        <w:t>’</w:t>
      </w:r>
      <w:r w:rsidR="00441E73" w:rsidRPr="00A66252">
        <w:rPr>
          <w:lang w:val="fr-FR"/>
        </w:rPr>
        <w:t xml:space="preserve">un filtrage de recevabilité des </w:t>
      </w:r>
      <w:r w:rsidR="00555C46" w:rsidRPr="00A66252">
        <w:rPr>
          <w:lang w:val="fr-FR"/>
        </w:rPr>
        <w:t>« </w:t>
      </w:r>
      <w:r w:rsidR="00441E73" w:rsidRPr="00A66252">
        <w:rPr>
          <w:lang w:val="fr-FR"/>
        </w:rPr>
        <w:t>demandes 9</w:t>
      </w:r>
      <w:r w:rsidR="00441E73" w:rsidRPr="00A66252">
        <w:rPr>
          <w:i/>
          <w:lang w:val="fr-FR"/>
        </w:rPr>
        <w:t>ter</w:t>
      </w:r>
      <w:r w:rsidR="00555C46" w:rsidRPr="00A66252">
        <w:rPr>
          <w:lang w:val="fr-FR"/>
        </w:rPr>
        <w:t xml:space="preserve"> » </w:t>
      </w:r>
      <w:r w:rsidR="00441E73" w:rsidRPr="00A66252">
        <w:rPr>
          <w:lang w:val="fr-FR"/>
        </w:rPr>
        <w:t xml:space="preserve">par </w:t>
      </w:r>
      <w:r w:rsidR="008250BE" w:rsidRPr="00A66252">
        <w:rPr>
          <w:lang w:val="fr-FR"/>
        </w:rPr>
        <w:t>une</w:t>
      </w:r>
      <w:r w:rsidR="00441E73" w:rsidRPr="00A66252">
        <w:rPr>
          <w:lang w:val="fr-FR"/>
        </w:rPr>
        <w:t xml:space="preserve"> loi du 8 janvier 2012,</w:t>
      </w:r>
      <w:r w:rsidRPr="00A66252">
        <w:rPr>
          <w:lang w:val="fr-FR"/>
        </w:rPr>
        <w:t xml:space="preserve"> consistant à limiter l</w:t>
      </w:r>
      <w:r w:rsidR="00A66252" w:rsidRPr="00A66252">
        <w:rPr>
          <w:lang w:val="fr-FR"/>
        </w:rPr>
        <w:t>’</w:t>
      </w:r>
      <w:r w:rsidRPr="00A66252">
        <w:rPr>
          <w:lang w:val="fr-FR"/>
        </w:rPr>
        <w:t>application de l</w:t>
      </w:r>
      <w:r w:rsidR="00A66252" w:rsidRPr="00A66252">
        <w:rPr>
          <w:lang w:val="fr-FR"/>
        </w:rPr>
        <w:t>’</w:t>
      </w:r>
      <w:r w:rsidRPr="00A66252">
        <w:rPr>
          <w:lang w:val="fr-FR"/>
        </w:rPr>
        <w:t>article 9</w:t>
      </w:r>
      <w:r w:rsidRPr="00A66252">
        <w:rPr>
          <w:i/>
          <w:lang w:val="fr-FR"/>
        </w:rPr>
        <w:t>ter</w:t>
      </w:r>
      <w:r w:rsidRPr="00A66252">
        <w:rPr>
          <w:lang w:val="fr-FR"/>
        </w:rPr>
        <w:t xml:space="preserve"> aux seules situations tombant sous le coup de l</w:t>
      </w:r>
      <w:r w:rsidR="00A66252" w:rsidRPr="00A66252">
        <w:rPr>
          <w:lang w:val="fr-FR"/>
        </w:rPr>
        <w:t>’</w:t>
      </w:r>
      <w:r w:rsidRPr="00A66252">
        <w:rPr>
          <w:lang w:val="fr-FR"/>
        </w:rPr>
        <w:t>article 3 de la Convention tel qu</w:t>
      </w:r>
      <w:r w:rsidR="00A66252" w:rsidRPr="00A66252">
        <w:rPr>
          <w:lang w:val="fr-FR"/>
        </w:rPr>
        <w:t>’</w:t>
      </w:r>
      <w:r w:rsidRPr="00A66252">
        <w:rPr>
          <w:lang w:val="fr-FR"/>
        </w:rPr>
        <w:t>interprété par la Cour dans l</w:t>
      </w:r>
      <w:r w:rsidR="00A66252" w:rsidRPr="00A66252">
        <w:rPr>
          <w:lang w:val="fr-FR"/>
        </w:rPr>
        <w:t>’</w:t>
      </w:r>
      <w:r w:rsidRPr="00A66252">
        <w:rPr>
          <w:lang w:val="fr-FR"/>
        </w:rPr>
        <w:t xml:space="preserve">arrêt </w:t>
      </w:r>
      <w:r w:rsidRPr="00A66252">
        <w:rPr>
          <w:i/>
          <w:lang w:val="fr-FR"/>
        </w:rPr>
        <w:t xml:space="preserve">N. </w:t>
      </w:r>
      <w:r w:rsidR="00EA360E" w:rsidRPr="00A66252">
        <w:rPr>
          <w:i/>
          <w:lang w:val="fr-FR"/>
        </w:rPr>
        <w:t xml:space="preserve">c. Royaume-Uni </w:t>
      </w:r>
      <w:r w:rsidR="00A74306" w:rsidRPr="00A66252">
        <w:rPr>
          <w:lang w:val="fr-FR"/>
        </w:rPr>
        <w:t>précité</w:t>
      </w:r>
      <w:r w:rsidR="006D3D76" w:rsidRPr="00A66252">
        <w:rPr>
          <w:lang w:val="fr-FR"/>
        </w:rPr>
        <w:t>.</w:t>
      </w:r>
    </w:p>
    <w:bookmarkStart w:id="27" w:name="JPCCE9TER"/>
    <w:p w:rsidR="00912274" w:rsidRPr="00A66252" w:rsidRDefault="007C1D5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102</w:t>
      </w:r>
      <w:r w:rsidRPr="00A66252">
        <w:rPr>
          <w:lang w:val="fr-FR"/>
        </w:rPr>
        <w:fldChar w:fldCharType="end"/>
      </w:r>
      <w:bookmarkEnd w:id="27"/>
      <w:r w:rsidRPr="00A66252">
        <w:rPr>
          <w:lang w:val="fr-FR"/>
        </w:rPr>
        <w:t>.  </w:t>
      </w:r>
      <w:r w:rsidR="00912274" w:rsidRPr="00A66252">
        <w:rPr>
          <w:lang w:val="fr-FR"/>
        </w:rPr>
        <w:t>La réaction du CCE consista à rappeler que l</w:t>
      </w:r>
      <w:r w:rsidR="00A66252" w:rsidRPr="00A66252">
        <w:rPr>
          <w:lang w:val="fr-FR"/>
        </w:rPr>
        <w:t>’</w:t>
      </w:r>
      <w:r w:rsidR="00912274" w:rsidRPr="00A66252">
        <w:rPr>
          <w:lang w:val="fr-FR"/>
        </w:rPr>
        <w:t>article 9</w:t>
      </w:r>
      <w:r w:rsidR="00912274" w:rsidRPr="00A66252">
        <w:rPr>
          <w:i/>
          <w:lang w:val="fr-FR"/>
        </w:rPr>
        <w:t>ter</w:t>
      </w:r>
      <w:r w:rsidR="00912274" w:rsidRPr="00A66252">
        <w:rPr>
          <w:lang w:val="fr-FR"/>
        </w:rPr>
        <w:t xml:space="preserve"> de la loi ne se limitait pas à l</w:t>
      </w:r>
      <w:r w:rsidR="00A66252" w:rsidRPr="00A66252">
        <w:rPr>
          <w:lang w:val="fr-FR"/>
        </w:rPr>
        <w:t>’</w:t>
      </w:r>
      <w:r w:rsidR="00912274" w:rsidRPr="00A66252">
        <w:rPr>
          <w:lang w:val="fr-FR"/>
        </w:rPr>
        <w:t>exigence systématique d</w:t>
      </w:r>
      <w:r w:rsidR="00A66252" w:rsidRPr="00A66252">
        <w:rPr>
          <w:lang w:val="fr-FR"/>
        </w:rPr>
        <w:t>’</w:t>
      </w:r>
      <w:r w:rsidR="00912274" w:rsidRPr="00A66252">
        <w:rPr>
          <w:lang w:val="fr-FR"/>
        </w:rPr>
        <w:t>un risque «</w:t>
      </w:r>
      <w:r w:rsidR="006D3D76" w:rsidRPr="00A66252">
        <w:rPr>
          <w:lang w:val="fr-FR"/>
        </w:rPr>
        <w:t> </w:t>
      </w:r>
      <w:r w:rsidR="00912274" w:rsidRPr="00A66252">
        <w:rPr>
          <w:lang w:val="fr-FR"/>
        </w:rPr>
        <w:t>pour la vie</w:t>
      </w:r>
      <w:r w:rsidR="006D3D76" w:rsidRPr="00A66252">
        <w:rPr>
          <w:lang w:val="fr-FR"/>
        </w:rPr>
        <w:t> </w:t>
      </w:r>
      <w:r w:rsidR="00912274" w:rsidRPr="00A66252">
        <w:rPr>
          <w:lang w:val="fr-FR"/>
        </w:rPr>
        <w:t>» du demandeur, puisqu</w:t>
      </w:r>
      <w:r w:rsidR="00A66252" w:rsidRPr="00A66252">
        <w:rPr>
          <w:lang w:val="fr-FR"/>
        </w:rPr>
        <w:t>’</w:t>
      </w:r>
      <w:r w:rsidR="00912274" w:rsidRPr="00A66252">
        <w:rPr>
          <w:lang w:val="fr-FR"/>
        </w:rPr>
        <w:t>il envisageait, à côté du risque vital, deux autres hypothèses : les situations qui entraînent un risque réel pour l</w:t>
      </w:r>
      <w:r w:rsidR="00A66252" w:rsidRPr="00A66252">
        <w:rPr>
          <w:lang w:val="fr-FR"/>
        </w:rPr>
        <w:t>’</w:t>
      </w:r>
      <w:r w:rsidR="00912274" w:rsidRPr="00A66252">
        <w:rPr>
          <w:lang w:val="fr-FR"/>
        </w:rPr>
        <w:t>intégrité physique et celles qui entraînent un risque réel de traitement inhumain ou dégradant (CCE, arrêts n</w:t>
      </w:r>
      <w:r w:rsidR="00912274" w:rsidRPr="00A66252">
        <w:rPr>
          <w:vertAlign w:val="superscript"/>
          <w:lang w:val="fr-FR"/>
        </w:rPr>
        <w:t>os</w:t>
      </w:r>
      <w:r w:rsidR="00912274" w:rsidRPr="00A66252">
        <w:rPr>
          <w:lang w:val="fr-FR"/>
        </w:rPr>
        <w:t xml:space="preserve"> 92.258, 92.308 et 92.309 du 27 novembre 2012). </w:t>
      </w:r>
      <w:r w:rsidR="007163B3" w:rsidRPr="00A66252">
        <w:rPr>
          <w:lang w:val="fr-FR"/>
        </w:rPr>
        <w:t>L</w:t>
      </w:r>
      <w:r w:rsidR="00912274" w:rsidRPr="00A66252">
        <w:rPr>
          <w:lang w:val="fr-FR"/>
        </w:rPr>
        <w:t xml:space="preserve">e CCE </w:t>
      </w:r>
      <w:r w:rsidR="007163B3" w:rsidRPr="00A66252">
        <w:rPr>
          <w:lang w:val="fr-FR"/>
        </w:rPr>
        <w:t>considéra également</w:t>
      </w:r>
      <w:r w:rsidR="00912274" w:rsidRPr="00A66252">
        <w:rPr>
          <w:lang w:val="fr-FR"/>
        </w:rPr>
        <w:t xml:space="preserve"> qu</w:t>
      </w:r>
      <w:r w:rsidR="00A66252" w:rsidRPr="00A66252">
        <w:rPr>
          <w:lang w:val="fr-FR"/>
        </w:rPr>
        <w:t>’</w:t>
      </w:r>
      <w:r w:rsidR="00912274" w:rsidRPr="00A66252">
        <w:rPr>
          <w:lang w:val="fr-FR"/>
        </w:rPr>
        <w:t>une menace immédiate pour la vie n</w:t>
      </w:r>
      <w:r w:rsidR="00A66252" w:rsidRPr="00A66252">
        <w:rPr>
          <w:lang w:val="fr-FR"/>
        </w:rPr>
        <w:t>’</w:t>
      </w:r>
      <w:r w:rsidR="00912274" w:rsidRPr="00A66252">
        <w:rPr>
          <w:lang w:val="fr-FR"/>
        </w:rPr>
        <w:t>était pas non plus dans la jurisprudence de la Cour une condition absolue pour emporter violation de l</w:t>
      </w:r>
      <w:r w:rsidR="00A66252" w:rsidRPr="00A66252">
        <w:rPr>
          <w:lang w:val="fr-FR"/>
        </w:rPr>
        <w:t>’</w:t>
      </w:r>
      <w:r w:rsidR="00912274" w:rsidRPr="00A66252">
        <w:rPr>
          <w:lang w:val="fr-FR"/>
        </w:rPr>
        <w:t>article 3 étant donné que « d</w:t>
      </w:r>
      <w:r w:rsidR="00A66252" w:rsidRPr="00A66252">
        <w:rPr>
          <w:lang w:val="fr-FR"/>
        </w:rPr>
        <w:t>’</w:t>
      </w:r>
      <w:r w:rsidR="00912274" w:rsidRPr="00A66252">
        <w:rPr>
          <w:lang w:val="fr-FR"/>
        </w:rPr>
        <w:t>autres circonstances humanitaires exceptionnelles », au sens donné par la Cour dans l</w:t>
      </w:r>
      <w:r w:rsidR="00A66252" w:rsidRPr="00A66252">
        <w:rPr>
          <w:lang w:val="fr-FR"/>
        </w:rPr>
        <w:t>’</w:t>
      </w:r>
      <w:r w:rsidR="00912274" w:rsidRPr="00A66252">
        <w:rPr>
          <w:lang w:val="fr-FR"/>
        </w:rPr>
        <w:t xml:space="preserve">arrêt </w:t>
      </w:r>
      <w:r w:rsidR="00912274" w:rsidRPr="00A66252">
        <w:rPr>
          <w:i/>
          <w:lang w:val="fr-FR"/>
        </w:rPr>
        <w:t>D.</w:t>
      </w:r>
      <w:r w:rsidR="006D3D76" w:rsidRPr="00A66252">
        <w:rPr>
          <w:i/>
          <w:lang w:val="fr-FR"/>
        </w:rPr>
        <w:t> </w:t>
      </w:r>
      <w:r w:rsidR="00761BF3" w:rsidRPr="00A66252">
        <w:rPr>
          <w:i/>
          <w:lang w:val="fr-FR"/>
        </w:rPr>
        <w:t>c. </w:t>
      </w:r>
      <w:r w:rsidR="00963A36" w:rsidRPr="00A66252">
        <w:rPr>
          <w:i/>
          <w:lang w:val="fr-FR"/>
        </w:rPr>
        <w:t>Royaume-Uni</w:t>
      </w:r>
      <w:r w:rsidR="00912274" w:rsidRPr="00A66252">
        <w:rPr>
          <w:i/>
          <w:lang w:val="fr-FR"/>
        </w:rPr>
        <w:t xml:space="preserve"> </w:t>
      </w:r>
      <w:r w:rsidR="00A74306" w:rsidRPr="00A66252">
        <w:rPr>
          <w:lang w:val="fr-FR"/>
        </w:rPr>
        <w:t>précité</w:t>
      </w:r>
      <w:r w:rsidR="00912274" w:rsidRPr="00A66252">
        <w:rPr>
          <w:lang w:val="fr-FR"/>
        </w:rPr>
        <w:t>, pouvaient s</w:t>
      </w:r>
      <w:r w:rsidR="00A66252" w:rsidRPr="00A66252">
        <w:rPr>
          <w:lang w:val="fr-FR"/>
        </w:rPr>
        <w:t>’</w:t>
      </w:r>
      <w:r w:rsidR="00912274" w:rsidRPr="00A66252">
        <w:rPr>
          <w:lang w:val="fr-FR"/>
        </w:rPr>
        <w:t>opposer à l</w:t>
      </w:r>
      <w:r w:rsidR="00A66252" w:rsidRPr="00A66252">
        <w:rPr>
          <w:lang w:val="fr-FR"/>
        </w:rPr>
        <w:t>’</w:t>
      </w:r>
      <w:r w:rsidR="00912274" w:rsidRPr="00A66252">
        <w:rPr>
          <w:lang w:val="fr-FR"/>
        </w:rPr>
        <w:t xml:space="preserve">éloignement (CCE, </w:t>
      </w:r>
      <w:r w:rsidR="00B32D6C" w:rsidRPr="00A66252">
        <w:rPr>
          <w:lang w:val="fr-FR"/>
        </w:rPr>
        <w:t>arrêt n</w:t>
      </w:r>
      <w:r w:rsidR="009472B8" w:rsidRPr="00A66252">
        <w:rPr>
          <w:vertAlign w:val="superscript"/>
          <w:lang w:val="fr-FR"/>
        </w:rPr>
        <w:t>o</w:t>
      </w:r>
      <w:r w:rsidR="00B32D6C" w:rsidRPr="00A66252">
        <w:rPr>
          <w:lang w:val="fr-FR"/>
        </w:rPr>
        <w:t> </w:t>
      </w:r>
      <w:r w:rsidR="00555C46" w:rsidRPr="00A66252">
        <w:rPr>
          <w:lang w:val="fr-FR"/>
        </w:rPr>
        <w:t xml:space="preserve">92.393 du </w:t>
      </w:r>
      <w:r w:rsidR="00912274" w:rsidRPr="00A66252">
        <w:rPr>
          <w:lang w:val="fr-FR"/>
        </w:rPr>
        <w:t xml:space="preserve">29 novembre 2012, et CCE, </w:t>
      </w:r>
      <w:r w:rsidR="00555C46" w:rsidRPr="00A66252">
        <w:rPr>
          <w:lang w:val="fr-FR"/>
        </w:rPr>
        <w:t>arrêt n</w:t>
      </w:r>
      <w:r w:rsidR="009472B8" w:rsidRPr="00A66252">
        <w:rPr>
          <w:vertAlign w:val="superscript"/>
          <w:lang w:val="fr-FR"/>
        </w:rPr>
        <w:t>o</w:t>
      </w:r>
      <w:r w:rsidR="00555C46" w:rsidRPr="00A66252">
        <w:rPr>
          <w:lang w:val="fr-FR"/>
        </w:rPr>
        <w:t xml:space="preserve"> 93.227 du 10 décembre 2012</w:t>
      </w:r>
      <w:r w:rsidR="00912274" w:rsidRPr="00A66252">
        <w:rPr>
          <w:lang w:val="fr-FR"/>
        </w:rPr>
        <w:t>). Toutes les circonstances de l</w:t>
      </w:r>
      <w:r w:rsidR="00A66252" w:rsidRPr="00A66252">
        <w:rPr>
          <w:lang w:val="fr-FR"/>
        </w:rPr>
        <w:t>’</w:t>
      </w:r>
      <w:r w:rsidR="00912274" w:rsidRPr="00A66252">
        <w:rPr>
          <w:lang w:val="fr-FR"/>
        </w:rPr>
        <w:t>affaire devraient don</w:t>
      </w:r>
      <w:r w:rsidR="006D3D76" w:rsidRPr="00A66252">
        <w:rPr>
          <w:lang w:val="fr-FR"/>
        </w:rPr>
        <w:t>c être prises en considération.</w:t>
      </w:r>
    </w:p>
    <w:p w:rsidR="00FC08FE" w:rsidRPr="00A66252" w:rsidRDefault="00912274" w:rsidP="00A66252">
      <w:pPr>
        <w:pStyle w:val="ECHRPara"/>
        <w:rPr>
          <w:lang w:val="fr-FR" w:eastAsia="fr-FR"/>
        </w:rPr>
      </w:pPr>
      <w:r w:rsidRPr="00A66252">
        <w:rPr>
          <w:rFonts w:cs="Times New Roman"/>
          <w:szCs w:val="24"/>
          <w:lang w:val="fr-FR"/>
        </w:rPr>
        <w:fldChar w:fldCharType="begin"/>
      </w:r>
      <w:r w:rsidRPr="00A66252">
        <w:rPr>
          <w:rFonts w:cs="Times New Roman"/>
          <w:szCs w:val="24"/>
          <w:lang w:val="fr-FR"/>
        </w:rPr>
        <w:instrText xml:space="preserve"> SEQ level0 \*arabic </w:instrText>
      </w:r>
      <w:r w:rsidRPr="00A66252">
        <w:rPr>
          <w:rFonts w:cs="Times New Roman"/>
          <w:szCs w:val="24"/>
          <w:lang w:val="fr-FR"/>
        </w:rPr>
        <w:fldChar w:fldCharType="separate"/>
      </w:r>
      <w:r w:rsidR="00A66252" w:rsidRPr="00A66252">
        <w:rPr>
          <w:rFonts w:cs="Times New Roman"/>
          <w:noProof/>
          <w:szCs w:val="24"/>
          <w:lang w:val="fr-FR"/>
        </w:rPr>
        <w:t>103</w:t>
      </w:r>
      <w:r w:rsidRPr="00A66252">
        <w:rPr>
          <w:rFonts w:cs="Times New Roman"/>
          <w:szCs w:val="24"/>
          <w:lang w:val="fr-FR"/>
        </w:rPr>
        <w:fldChar w:fldCharType="end"/>
      </w:r>
      <w:r w:rsidRPr="00A66252">
        <w:rPr>
          <w:rFonts w:cs="Times New Roman"/>
          <w:szCs w:val="24"/>
          <w:lang w:val="fr-FR"/>
        </w:rPr>
        <w:t>.  </w:t>
      </w:r>
      <w:r w:rsidRPr="00A66252">
        <w:rPr>
          <w:lang w:val="fr-FR" w:eastAsia="fr-FR"/>
        </w:rPr>
        <w:t xml:space="preserve">Le 19 juin 2013, une chambre </w:t>
      </w:r>
      <w:r w:rsidR="00B42613" w:rsidRPr="00A66252">
        <w:rPr>
          <w:lang w:val="fr-FR" w:eastAsia="fr-FR"/>
        </w:rPr>
        <w:t xml:space="preserve">néerlandophone </w:t>
      </w:r>
      <w:r w:rsidRPr="00A66252">
        <w:rPr>
          <w:lang w:val="fr-FR" w:eastAsia="fr-FR"/>
        </w:rPr>
        <w:t>du Conseil d</w:t>
      </w:r>
      <w:r w:rsidR="00A66252" w:rsidRPr="00A66252">
        <w:rPr>
          <w:lang w:val="fr-FR" w:eastAsia="fr-FR"/>
        </w:rPr>
        <w:t>’</w:t>
      </w:r>
      <w:r w:rsidR="00800622" w:rsidRPr="00A66252">
        <w:rPr>
          <w:lang w:val="fr-FR" w:eastAsia="fr-FR"/>
        </w:rPr>
        <w:t>É</w:t>
      </w:r>
      <w:r w:rsidRPr="00A66252">
        <w:rPr>
          <w:lang w:val="fr-FR" w:eastAsia="fr-FR"/>
        </w:rPr>
        <w:t>tat reprit à son compte cette interprétation de l</w:t>
      </w:r>
      <w:r w:rsidR="00A66252" w:rsidRPr="00A66252">
        <w:rPr>
          <w:lang w:val="fr-FR" w:eastAsia="fr-FR"/>
        </w:rPr>
        <w:t>’</w:t>
      </w:r>
      <w:r w:rsidRPr="00A66252">
        <w:rPr>
          <w:lang w:val="fr-FR" w:eastAsia="fr-FR"/>
        </w:rPr>
        <w:t>article 9</w:t>
      </w:r>
      <w:r w:rsidRPr="00A66252">
        <w:rPr>
          <w:i/>
          <w:lang w:val="fr-FR" w:eastAsia="fr-FR"/>
        </w:rPr>
        <w:t>ter</w:t>
      </w:r>
      <w:r w:rsidR="00A74306" w:rsidRPr="00A66252">
        <w:rPr>
          <w:lang w:val="fr-FR" w:eastAsia="fr-FR"/>
        </w:rPr>
        <w:t>,</w:t>
      </w:r>
      <w:r w:rsidRPr="00A66252">
        <w:rPr>
          <w:lang w:val="fr-FR" w:eastAsia="fr-FR"/>
        </w:rPr>
        <w:t xml:space="preserve"> § 1. Elle considéra que, quel que soit le champ d</w:t>
      </w:r>
      <w:r w:rsidR="00A66252" w:rsidRPr="00A66252">
        <w:rPr>
          <w:lang w:val="fr-FR" w:eastAsia="fr-FR"/>
        </w:rPr>
        <w:t>’</w:t>
      </w:r>
      <w:r w:rsidRPr="00A66252">
        <w:rPr>
          <w:lang w:val="fr-FR" w:eastAsia="fr-FR"/>
        </w:rPr>
        <w:t>application de l</w:t>
      </w:r>
      <w:r w:rsidR="00A66252" w:rsidRPr="00A66252">
        <w:rPr>
          <w:lang w:val="fr-FR" w:eastAsia="fr-FR"/>
        </w:rPr>
        <w:t>’</w:t>
      </w:r>
      <w:r w:rsidR="006D3D76" w:rsidRPr="00A66252">
        <w:rPr>
          <w:lang w:val="fr-FR" w:eastAsia="fr-FR"/>
        </w:rPr>
        <w:t xml:space="preserve">article 3 de la Convention, </w:t>
      </w:r>
      <w:r w:rsidRPr="00A66252">
        <w:rPr>
          <w:lang w:val="fr-FR" w:eastAsia="fr-FR"/>
        </w:rPr>
        <w:t>l</w:t>
      </w:r>
      <w:r w:rsidR="00A66252" w:rsidRPr="00A66252">
        <w:rPr>
          <w:lang w:val="fr-FR" w:eastAsia="fr-FR"/>
        </w:rPr>
        <w:t>’</w:t>
      </w:r>
      <w:r w:rsidRPr="00A66252">
        <w:rPr>
          <w:lang w:val="fr-FR" w:eastAsia="fr-FR"/>
        </w:rPr>
        <w:t>article 9</w:t>
      </w:r>
      <w:r w:rsidRPr="00A66252">
        <w:rPr>
          <w:i/>
          <w:lang w:val="fr-FR" w:eastAsia="fr-FR"/>
        </w:rPr>
        <w:t>ter</w:t>
      </w:r>
      <w:r w:rsidRPr="00A66252">
        <w:rPr>
          <w:lang w:val="fr-FR" w:eastAsia="fr-FR"/>
        </w:rPr>
        <w:t xml:space="preserve"> était clair et visait des situations dépassant la menace directe pour la vie du demandeur et le seul état c</w:t>
      </w:r>
      <w:r w:rsidR="00761BF3" w:rsidRPr="00A66252">
        <w:rPr>
          <w:lang w:val="fr-FR" w:eastAsia="fr-FR"/>
        </w:rPr>
        <w:t xml:space="preserve">ritique (C.E., </w:t>
      </w:r>
      <w:r w:rsidR="00C95847" w:rsidRPr="00A66252">
        <w:rPr>
          <w:lang w:val="fr-FR" w:eastAsia="fr-FR"/>
        </w:rPr>
        <w:t xml:space="preserve">arrêt </w:t>
      </w:r>
      <w:r w:rsidR="00940DBB" w:rsidRPr="00A66252">
        <w:rPr>
          <w:lang w:val="fr-FR" w:eastAsia="fr-FR"/>
        </w:rPr>
        <w:t>n</w:t>
      </w:r>
      <w:r w:rsidR="00940DBB" w:rsidRPr="00A66252">
        <w:rPr>
          <w:vertAlign w:val="superscript"/>
          <w:lang w:val="fr-FR" w:eastAsia="fr-FR"/>
        </w:rPr>
        <w:t>o</w:t>
      </w:r>
      <w:r w:rsidR="00940DBB" w:rsidRPr="00A66252">
        <w:rPr>
          <w:lang w:val="fr-FR" w:eastAsia="fr-FR"/>
        </w:rPr>
        <w:t xml:space="preserve"> 223.961, </w:t>
      </w:r>
      <w:r w:rsidR="00C95847" w:rsidRPr="00A66252">
        <w:rPr>
          <w:lang w:val="fr-FR" w:eastAsia="fr-FR"/>
        </w:rPr>
        <w:t>19 </w:t>
      </w:r>
      <w:r w:rsidR="00761BF3" w:rsidRPr="00A66252">
        <w:rPr>
          <w:lang w:val="fr-FR" w:eastAsia="fr-FR"/>
        </w:rPr>
        <w:t>juin 2013</w:t>
      </w:r>
      <w:r w:rsidRPr="00A66252">
        <w:rPr>
          <w:lang w:val="fr-FR" w:eastAsia="fr-FR"/>
        </w:rPr>
        <w:t>). Dans des arrêts du 28 novembre 2013, la même chambre conclut explicitement que le CCE avait commis une erreur en considérant que l</w:t>
      </w:r>
      <w:r w:rsidR="00A66252" w:rsidRPr="00A66252">
        <w:rPr>
          <w:lang w:val="fr-FR" w:eastAsia="fr-FR"/>
        </w:rPr>
        <w:t>’</w:t>
      </w:r>
      <w:r w:rsidRPr="00A66252">
        <w:rPr>
          <w:lang w:val="fr-FR" w:eastAsia="fr-FR"/>
        </w:rPr>
        <w:t>article 3 de la Convention pouvait couvrir d</w:t>
      </w:r>
      <w:r w:rsidR="00A66252" w:rsidRPr="00A66252">
        <w:rPr>
          <w:lang w:val="fr-FR" w:eastAsia="fr-FR"/>
        </w:rPr>
        <w:t>’</w:t>
      </w:r>
      <w:r w:rsidRPr="00A66252">
        <w:rPr>
          <w:lang w:val="fr-FR" w:eastAsia="fr-FR"/>
        </w:rPr>
        <w:t>autres situations que celles impliquant un état de santé grave, critique ou terminal. Cette erreur n</w:t>
      </w:r>
      <w:r w:rsidR="00A66252" w:rsidRPr="00A66252">
        <w:rPr>
          <w:lang w:val="fr-FR" w:eastAsia="fr-FR"/>
        </w:rPr>
        <w:t>’</w:t>
      </w:r>
      <w:r w:rsidRPr="00A66252">
        <w:rPr>
          <w:lang w:val="fr-FR" w:eastAsia="fr-FR"/>
        </w:rPr>
        <w:t>avait toutefois pas affecté la just</w:t>
      </w:r>
      <w:r w:rsidR="00555C46" w:rsidRPr="00A66252">
        <w:rPr>
          <w:lang w:val="fr-FR" w:eastAsia="fr-FR"/>
        </w:rPr>
        <w:t>esse de son interprétation de l</w:t>
      </w:r>
      <w:r w:rsidR="00A66252" w:rsidRPr="00A66252">
        <w:rPr>
          <w:lang w:val="fr-FR" w:eastAsia="fr-FR"/>
        </w:rPr>
        <w:t>’</w:t>
      </w:r>
      <w:r w:rsidRPr="00A66252">
        <w:rPr>
          <w:lang w:val="fr-FR" w:eastAsia="fr-FR"/>
        </w:rPr>
        <w:t>article 9</w:t>
      </w:r>
      <w:r w:rsidRPr="00A66252">
        <w:rPr>
          <w:i/>
          <w:lang w:val="fr-FR" w:eastAsia="fr-FR"/>
        </w:rPr>
        <w:t>ter</w:t>
      </w:r>
      <w:r w:rsidRPr="00A66252">
        <w:rPr>
          <w:lang w:val="fr-FR" w:eastAsia="fr-FR"/>
        </w:rPr>
        <w:t xml:space="preserve">, § 1, étant donné que cette disposition </w:t>
      </w:r>
      <w:r w:rsidR="007869FE" w:rsidRPr="00A66252">
        <w:rPr>
          <w:lang w:val="fr-FR" w:eastAsia="fr-FR"/>
        </w:rPr>
        <w:t>allait plus loin que l</w:t>
      </w:r>
      <w:r w:rsidR="00A66252" w:rsidRPr="00A66252">
        <w:rPr>
          <w:lang w:val="fr-FR" w:eastAsia="fr-FR"/>
        </w:rPr>
        <w:t>’</w:t>
      </w:r>
      <w:r w:rsidRPr="00A66252">
        <w:rPr>
          <w:lang w:val="fr-FR" w:eastAsia="fr-FR"/>
        </w:rPr>
        <w:t>art</w:t>
      </w:r>
      <w:r w:rsidR="007869FE" w:rsidRPr="00A66252">
        <w:rPr>
          <w:lang w:val="fr-FR" w:eastAsia="fr-FR"/>
        </w:rPr>
        <w:t xml:space="preserve">icle 3 de la Convention et visait </w:t>
      </w:r>
      <w:r w:rsidRPr="00A66252">
        <w:rPr>
          <w:lang w:val="fr-FR" w:eastAsia="fr-FR"/>
        </w:rPr>
        <w:t>le risque réel de traitements inhumains ou dégradants en raison de l</w:t>
      </w:r>
      <w:r w:rsidR="00A66252" w:rsidRPr="00A66252">
        <w:rPr>
          <w:lang w:val="fr-FR" w:eastAsia="fr-FR"/>
        </w:rPr>
        <w:t>’</w:t>
      </w:r>
      <w:r w:rsidRPr="00A66252">
        <w:rPr>
          <w:lang w:val="fr-FR" w:eastAsia="fr-FR"/>
        </w:rPr>
        <w:t>absence de traitement approprié dans le pays d</w:t>
      </w:r>
      <w:r w:rsidR="00A66252" w:rsidRPr="00A66252">
        <w:rPr>
          <w:lang w:val="fr-FR" w:eastAsia="fr-FR"/>
        </w:rPr>
        <w:t>’</w:t>
      </w:r>
      <w:r w:rsidRPr="00A66252">
        <w:rPr>
          <w:lang w:val="fr-FR" w:eastAsia="fr-FR"/>
        </w:rPr>
        <w:t>origine</w:t>
      </w:r>
      <w:r w:rsidRPr="00A66252">
        <w:rPr>
          <w:lang w:val="fr-FR"/>
        </w:rPr>
        <w:t xml:space="preserve"> (</w:t>
      </w:r>
      <w:r w:rsidR="00940DBB" w:rsidRPr="00A66252">
        <w:rPr>
          <w:lang w:val="fr-FR"/>
        </w:rPr>
        <w:t xml:space="preserve">C.E., </w:t>
      </w:r>
      <w:r w:rsidRPr="00A66252">
        <w:rPr>
          <w:lang w:val="fr-FR"/>
        </w:rPr>
        <w:t xml:space="preserve">arrêts </w:t>
      </w:r>
      <w:r w:rsidRPr="00A66252">
        <w:rPr>
          <w:lang w:val="fr-FR" w:eastAsia="fr-FR"/>
        </w:rPr>
        <w:t>n</w:t>
      </w:r>
      <w:r w:rsidRPr="00A66252">
        <w:rPr>
          <w:vertAlign w:val="superscript"/>
          <w:lang w:val="fr-FR" w:eastAsia="fr-FR"/>
        </w:rPr>
        <w:t>os</w:t>
      </w:r>
      <w:r w:rsidR="00761BF3" w:rsidRPr="00A66252">
        <w:rPr>
          <w:lang w:val="fr-FR" w:eastAsia="fr-FR"/>
        </w:rPr>
        <w:t> </w:t>
      </w:r>
      <w:r w:rsidRPr="00A66252">
        <w:rPr>
          <w:lang w:val="fr-FR" w:eastAsia="fr-FR"/>
        </w:rPr>
        <w:t>22</w:t>
      </w:r>
      <w:r w:rsidR="00940DBB" w:rsidRPr="00A66252">
        <w:rPr>
          <w:lang w:val="fr-FR" w:eastAsia="fr-FR"/>
        </w:rPr>
        <w:t>5</w:t>
      </w:r>
      <w:r w:rsidRPr="00A66252">
        <w:rPr>
          <w:lang w:val="fr-FR" w:eastAsia="fr-FR"/>
        </w:rPr>
        <w:t>.632 et 225.633 du 28 novembre 2013). Le 29 janvier 2014, la même chambre précisa que dans la mesure où l</w:t>
      </w:r>
      <w:r w:rsidR="00A66252" w:rsidRPr="00A66252">
        <w:rPr>
          <w:lang w:val="fr-FR" w:eastAsia="fr-FR"/>
        </w:rPr>
        <w:t>’</w:t>
      </w:r>
      <w:r w:rsidRPr="00A66252">
        <w:rPr>
          <w:lang w:val="fr-FR" w:eastAsia="fr-FR"/>
        </w:rPr>
        <w:t>article 9</w:t>
      </w:r>
      <w:r w:rsidRPr="00A66252">
        <w:rPr>
          <w:i/>
          <w:lang w:val="fr-FR" w:eastAsia="fr-FR"/>
        </w:rPr>
        <w:t>ter</w:t>
      </w:r>
      <w:r w:rsidR="006D3D76" w:rsidRPr="00A66252">
        <w:rPr>
          <w:lang w:val="fr-FR" w:eastAsia="fr-FR"/>
        </w:rPr>
        <w:t>, § 1 se référait</w:t>
      </w:r>
      <w:r w:rsidRPr="00A66252">
        <w:rPr>
          <w:lang w:val="fr-FR" w:eastAsia="fr-FR"/>
        </w:rPr>
        <w:t xml:space="preserve"> à </w:t>
      </w:r>
      <w:r w:rsidRPr="00A66252">
        <w:rPr>
          <w:lang w:val="fr-FR" w:eastAsia="fr-FR"/>
        </w:rPr>
        <w:lastRenderedPageBreak/>
        <w:t>un risqu</w:t>
      </w:r>
      <w:r w:rsidR="00C95847" w:rsidRPr="00A66252">
        <w:rPr>
          <w:lang w:val="fr-FR" w:eastAsia="fr-FR"/>
        </w:rPr>
        <w:t>e</w:t>
      </w:r>
      <w:r w:rsidRPr="00A66252">
        <w:rPr>
          <w:lang w:val="fr-FR" w:eastAsia="fr-FR"/>
        </w:rPr>
        <w:t xml:space="preserve"> ré</w:t>
      </w:r>
      <w:r w:rsidR="00C95847" w:rsidRPr="00A66252">
        <w:rPr>
          <w:lang w:val="fr-FR" w:eastAsia="fr-FR"/>
        </w:rPr>
        <w:t>e</w:t>
      </w:r>
      <w:r w:rsidRPr="00A66252">
        <w:rPr>
          <w:lang w:val="fr-FR" w:eastAsia="fr-FR"/>
        </w:rPr>
        <w:t>l pour la vie ou l</w:t>
      </w:r>
      <w:r w:rsidR="00A66252" w:rsidRPr="00A66252">
        <w:rPr>
          <w:lang w:val="fr-FR" w:eastAsia="fr-FR"/>
        </w:rPr>
        <w:t>’</w:t>
      </w:r>
      <w:r w:rsidRPr="00A66252">
        <w:rPr>
          <w:lang w:val="fr-FR" w:eastAsia="fr-FR"/>
        </w:rPr>
        <w:t>intégrité physique, il correspondait à l</w:t>
      </w:r>
      <w:r w:rsidR="00A66252" w:rsidRPr="00A66252">
        <w:rPr>
          <w:lang w:val="fr-FR" w:eastAsia="fr-FR"/>
        </w:rPr>
        <w:t>’</w:t>
      </w:r>
      <w:r w:rsidRPr="00A66252">
        <w:rPr>
          <w:lang w:val="fr-FR" w:eastAsia="fr-FR"/>
        </w:rPr>
        <w:t xml:space="preserve">article 3 de la Convention (C.E., </w:t>
      </w:r>
      <w:r w:rsidR="00C95847" w:rsidRPr="00A66252">
        <w:rPr>
          <w:lang w:val="fr-FR" w:eastAsia="fr-FR"/>
        </w:rPr>
        <w:t xml:space="preserve">arrêt </w:t>
      </w:r>
      <w:r w:rsidR="00940DBB" w:rsidRPr="00A66252">
        <w:rPr>
          <w:lang w:val="fr-FR" w:eastAsia="fr-FR"/>
        </w:rPr>
        <w:t>n</w:t>
      </w:r>
      <w:r w:rsidR="00940DBB" w:rsidRPr="00A66252">
        <w:rPr>
          <w:vertAlign w:val="superscript"/>
          <w:lang w:val="fr-FR" w:eastAsia="fr-FR"/>
        </w:rPr>
        <w:t>o</w:t>
      </w:r>
      <w:r w:rsidR="00940DBB" w:rsidRPr="00A66252">
        <w:rPr>
          <w:lang w:val="fr-FR" w:eastAsia="fr-FR"/>
        </w:rPr>
        <w:t xml:space="preserve"> 226.251, </w:t>
      </w:r>
      <w:r w:rsidRPr="00A66252">
        <w:rPr>
          <w:lang w:val="fr-FR" w:eastAsia="fr-FR"/>
        </w:rPr>
        <w:t>29 janvier 2014).</w:t>
      </w:r>
    </w:p>
    <w:p w:rsidR="00A66252" w:rsidRPr="00A66252" w:rsidRDefault="00FC08FE" w:rsidP="00A66252">
      <w:pPr>
        <w:pStyle w:val="ECHRPara"/>
        <w:rPr>
          <w:rFonts w:cs="Times New Roman"/>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104</w:t>
      </w:r>
      <w:r w:rsidRPr="00A66252">
        <w:rPr>
          <w:lang w:val="fr-FR" w:eastAsia="fr-FR"/>
        </w:rPr>
        <w:fldChar w:fldCharType="end"/>
      </w:r>
      <w:r w:rsidRPr="00A66252">
        <w:rPr>
          <w:lang w:val="fr-FR" w:eastAsia="fr-FR"/>
        </w:rPr>
        <w:t>.  </w:t>
      </w:r>
      <w:r w:rsidR="00912274" w:rsidRPr="00A66252">
        <w:rPr>
          <w:lang w:val="fr-FR" w:eastAsia="fr-FR"/>
        </w:rPr>
        <w:t>Entre-temps, le 19 novembre 2013, une chambre</w:t>
      </w:r>
      <w:r w:rsidR="00B42613" w:rsidRPr="00A66252">
        <w:rPr>
          <w:lang w:val="fr-FR" w:eastAsia="fr-FR"/>
        </w:rPr>
        <w:t xml:space="preserve"> francophone</w:t>
      </w:r>
      <w:r w:rsidR="00912274" w:rsidRPr="00A66252">
        <w:rPr>
          <w:lang w:val="fr-FR" w:eastAsia="fr-FR"/>
        </w:rPr>
        <w:t xml:space="preserve"> du Conseil d</w:t>
      </w:r>
      <w:r w:rsidR="00A66252" w:rsidRPr="00A66252">
        <w:rPr>
          <w:lang w:val="fr-FR" w:eastAsia="fr-FR"/>
        </w:rPr>
        <w:t>’</w:t>
      </w:r>
      <w:r w:rsidR="00800622" w:rsidRPr="00A66252">
        <w:rPr>
          <w:lang w:val="fr-FR" w:eastAsia="fr-FR"/>
        </w:rPr>
        <w:t>É</w:t>
      </w:r>
      <w:r w:rsidR="00912274" w:rsidRPr="00A66252">
        <w:rPr>
          <w:lang w:val="fr-FR" w:eastAsia="fr-FR"/>
        </w:rPr>
        <w:t xml:space="preserve">tat </w:t>
      </w:r>
      <w:r w:rsidR="004D3CC8" w:rsidRPr="00A66252">
        <w:rPr>
          <w:lang w:val="fr-FR" w:eastAsia="fr-FR"/>
        </w:rPr>
        <w:t>avait adopté</w:t>
      </w:r>
      <w:r w:rsidR="00912274" w:rsidRPr="00A66252">
        <w:rPr>
          <w:lang w:val="fr-FR" w:eastAsia="fr-FR"/>
        </w:rPr>
        <w:t xml:space="preserve"> une approche tout à fait opposée. </w:t>
      </w:r>
      <w:r w:rsidR="00912274" w:rsidRPr="00A66252">
        <w:rPr>
          <w:rFonts w:cs="Times New Roman"/>
          <w:szCs w:val="24"/>
          <w:lang w:val="fr-FR"/>
        </w:rPr>
        <w:t>Selon cette chambre, le législateur avait manifestement entendu réserver le bénéfice de l</w:t>
      </w:r>
      <w:r w:rsidR="00A66252" w:rsidRPr="00A66252">
        <w:rPr>
          <w:rFonts w:cs="Times New Roman"/>
          <w:szCs w:val="24"/>
          <w:lang w:val="fr-FR"/>
        </w:rPr>
        <w:t>’</w:t>
      </w:r>
      <w:r w:rsidR="00912274" w:rsidRPr="00A66252">
        <w:rPr>
          <w:rFonts w:cs="Times New Roman"/>
          <w:szCs w:val="24"/>
          <w:lang w:val="fr-FR"/>
        </w:rPr>
        <w:t>article 9</w:t>
      </w:r>
      <w:r w:rsidR="00912274" w:rsidRPr="00A66252">
        <w:rPr>
          <w:rFonts w:cs="Times New Roman"/>
          <w:i/>
          <w:szCs w:val="24"/>
          <w:lang w:val="fr-FR"/>
        </w:rPr>
        <w:t xml:space="preserve">ter </w:t>
      </w:r>
      <w:r w:rsidR="006D3D76" w:rsidRPr="00A66252">
        <w:rPr>
          <w:rFonts w:cs="Times New Roman"/>
          <w:szCs w:val="24"/>
          <w:lang w:val="fr-FR"/>
        </w:rPr>
        <w:t>aux étrangers si « </w:t>
      </w:r>
      <w:r w:rsidR="00912274" w:rsidRPr="00A66252">
        <w:rPr>
          <w:rFonts w:cs="Times New Roman"/>
          <w:szCs w:val="24"/>
          <w:lang w:val="fr-FR"/>
        </w:rPr>
        <w:t>gravement malades</w:t>
      </w:r>
      <w:r w:rsidR="006D3D76" w:rsidRPr="00A66252">
        <w:rPr>
          <w:rFonts w:cs="Times New Roman"/>
          <w:szCs w:val="24"/>
          <w:lang w:val="fr-FR"/>
        </w:rPr>
        <w:t> </w:t>
      </w:r>
      <w:r w:rsidR="00912274" w:rsidRPr="00A66252">
        <w:rPr>
          <w:rFonts w:cs="Times New Roman"/>
          <w:szCs w:val="24"/>
          <w:lang w:val="fr-FR"/>
        </w:rPr>
        <w:t>» que leur éloignement constituerait une violation de l</w:t>
      </w:r>
      <w:r w:rsidR="00A66252" w:rsidRPr="00A66252">
        <w:rPr>
          <w:rFonts w:cs="Times New Roman"/>
          <w:szCs w:val="24"/>
          <w:lang w:val="fr-FR"/>
        </w:rPr>
        <w:t>’</w:t>
      </w:r>
      <w:r w:rsidR="00912274" w:rsidRPr="00A66252">
        <w:rPr>
          <w:rFonts w:cs="Times New Roman"/>
          <w:szCs w:val="24"/>
          <w:lang w:val="fr-FR"/>
        </w:rPr>
        <w:t xml:space="preserve">article 3 de la Convention, et il a voulu que cet examen se fasse en conformité avec la jurisprudence </w:t>
      </w:r>
      <w:r w:rsidR="00912274" w:rsidRPr="00A66252">
        <w:rPr>
          <w:rFonts w:cs="Times New Roman"/>
          <w:i/>
          <w:szCs w:val="24"/>
          <w:lang w:val="fr-FR"/>
        </w:rPr>
        <w:t>N.</w:t>
      </w:r>
      <w:r w:rsidR="00963A36" w:rsidRPr="00A66252">
        <w:rPr>
          <w:rFonts w:cs="Times New Roman"/>
          <w:i/>
          <w:szCs w:val="24"/>
          <w:lang w:val="fr-FR"/>
        </w:rPr>
        <w:t xml:space="preserve"> c. Royaume-Uni</w:t>
      </w:r>
      <w:r w:rsidR="00912274" w:rsidRPr="00A66252">
        <w:rPr>
          <w:rFonts w:cs="Times New Roman"/>
          <w:i/>
          <w:szCs w:val="24"/>
          <w:lang w:val="fr-FR"/>
        </w:rPr>
        <w:t xml:space="preserve"> </w:t>
      </w:r>
      <w:r w:rsidR="00912274" w:rsidRPr="00A66252">
        <w:rPr>
          <w:rFonts w:cs="Times New Roman"/>
          <w:szCs w:val="24"/>
          <w:lang w:val="fr-FR"/>
        </w:rPr>
        <w:t>précitée. Le fait que l</w:t>
      </w:r>
      <w:r w:rsidR="00A66252" w:rsidRPr="00A66252">
        <w:rPr>
          <w:rFonts w:cs="Times New Roman"/>
          <w:szCs w:val="24"/>
          <w:lang w:val="fr-FR"/>
        </w:rPr>
        <w:t>’</w:t>
      </w:r>
      <w:r w:rsidR="00912274" w:rsidRPr="00A66252">
        <w:rPr>
          <w:rFonts w:cs="Times New Roman"/>
          <w:szCs w:val="24"/>
          <w:lang w:val="fr-FR"/>
        </w:rPr>
        <w:t>article 9</w:t>
      </w:r>
      <w:r w:rsidR="00912274" w:rsidRPr="00A66252">
        <w:rPr>
          <w:rFonts w:cs="Times New Roman"/>
          <w:i/>
          <w:szCs w:val="24"/>
          <w:lang w:val="fr-FR"/>
        </w:rPr>
        <w:t>ter</w:t>
      </w:r>
      <w:r w:rsidR="007869FE" w:rsidRPr="00A66252">
        <w:rPr>
          <w:rFonts w:cs="Times New Roman"/>
          <w:szCs w:val="24"/>
          <w:lang w:val="fr-FR"/>
        </w:rPr>
        <w:t xml:space="preserve"> visait</w:t>
      </w:r>
      <w:r w:rsidR="00912274" w:rsidRPr="00A66252">
        <w:rPr>
          <w:rFonts w:cs="Times New Roman"/>
          <w:szCs w:val="24"/>
          <w:lang w:val="fr-FR"/>
        </w:rPr>
        <w:t xml:space="preserve"> trois hypothèses spécifiques n</w:t>
      </w:r>
      <w:r w:rsidR="00A66252" w:rsidRPr="00A66252">
        <w:rPr>
          <w:rFonts w:cs="Times New Roman"/>
          <w:szCs w:val="24"/>
          <w:lang w:val="fr-FR"/>
        </w:rPr>
        <w:t>’</w:t>
      </w:r>
      <w:r w:rsidR="00912274" w:rsidRPr="00A66252">
        <w:rPr>
          <w:rFonts w:cs="Times New Roman"/>
          <w:szCs w:val="24"/>
          <w:lang w:val="fr-FR"/>
        </w:rPr>
        <w:t>impliqu</w:t>
      </w:r>
      <w:r w:rsidR="007869FE" w:rsidRPr="00A66252">
        <w:rPr>
          <w:rFonts w:cs="Times New Roman"/>
          <w:szCs w:val="24"/>
          <w:lang w:val="fr-FR"/>
        </w:rPr>
        <w:t>ait</w:t>
      </w:r>
      <w:r w:rsidR="00912274" w:rsidRPr="00A66252">
        <w:rPr>
          <w:rFonts w:cs="Times New Roman"/>
          <w:szCs w:val="24"/>
          <w:lang w:val="fr-FR"/>
        </w:rPr>
        <w:t xml:space="preserve"> pas qu</w:t>
      </w:r>
      <w:r w:rsidR="00A66252" w:rsidRPr="00A66252">
        <w:rPr>
          <w:rFonts w:cs="Times New Roman"/>
          <w:szCs w:val="24"/>
          <w:lang w:val="fr-FR"/>
        </w:rPr>
        <w:t>’</w:t>
      </w:r>
      <w:r w:rsidR="00912274" w:rsidRPr="00A66252">
        <w:rPr>
          <w:rFonts w:cs="Times New Roman"/>
          <w:szCs w:val="24"/>
          <w:lang w:val="fr-FR"/>
        </w:rPr>
        <w:t xml:space="preserve">il </w:t>
      </w:r>
      <w:r w:rsidR="007869FE" w:rsidRPr="00A66252">
        <w:rPr>
          <w:rFonts w:cs="Times New Roman"/>
          <w:szCs w:val="24"/>
          <w:lang w:val="fr-FR"/>
        </w:rPr>
        <w:t>eût</w:t>
      </w:r>
      <w:r w:rsidR="00912274" w:rsidRPr="00A66252">
        <w:rPr>
          <w:rFonts w:cs="Times New Roman"/>
          <w:szCs w:val="24"/>
          <w:lang w:val="fr-FR"/>
        </w:rPr>
        <w:t xml:space="preserve"> un champ d</w:t>
      </w:r>
      <w:r w:rsidR="00A66252" w:rsidRPr="00A66252">
        <w:rPr>
          <w:rFonts w:cs="Times New Roman"/>
          <w:szCs w:val="24"/>
          <w:lang w:val="fr-FR"/>
        </w:rPr>
        <w:t>’</w:t>
      </w:r>
      <w:r w:rsidR="00912274" w:rsidRPr="00A66252">
        <w:rPr>
          <w:rFonts w:cs="Times New Roman"/>
          <w:szCs w:val="24"/>
          <w:lang w:val="fr-FR"/>
        </w:rPr>
        <w:t>application différent de celui de l</w:t>
      </w:r>
      <w:r w:rsidR="00A66252" w:rsidRPr="00A66252">
        <w:rPr>
          <w:rFonts w:cs="Times New Roman"/>
          <w:szCs w:val="24"/>
          <w:lang w:val="fr-FR"/>
        </w:rPr>
        <w:t>’</w:t>
      </w:r>
      <w:r w:rsidR="00912274" w:rsidRPr="00A66252">
        <w:rPr>
          <w:rFonts w:cs="Times New Roman"/>
          <w:szCs w:val="24"/>
          <w:lang w:val="fr-FR"/>
        </w:rPr>
        <w:t>article 3. Ces trois types de maladie, lorsqu</w:t>
      </w:r>
      <w:r w:rsidR="00A66252" w:rsidRPr="00A66252">
        <w:rPr>
          <w:rFonts w:cs="Times New Roman"/>
          <w:szCs w:val="24"/>
          <w:lang w:val="fr-FR"/>
        </w:rPr>
        <w:t>’</w:t>
      </w:r>
      <w:r w:rsidR="00912274" w:rsidRPr="00A66252">
        <w:rPr>
          <w:rFonts w:cs="Times New Roman"/>
          <w:szCs w:val="24"/>
          <w:lang w:val="fr-FR"/>
        </w:rPr>
        <w:t>elles atteign</w:t>
      </w:r>
      <w:r w:rsidR="007869FE" w:rsidRPr="00A66252">
        <w:rPr>
          <w:rFonts w:cs="Times New Roman"/>
          <w:szCs w:val="24"/>
          <w:lang w:val="fr-FR"/>
        </w:rPr>
        <w:t>ai</w:t>
      </w:r>
      <w:r w:rsidR="00912274" w:rsidRPr="00A66252">
        <w:rPr>
          <w:rFonts w:cs="Times New Roman"/>
          <w:szCs w:val="24"/>
          <w:lang w:val="fr-FR"/>
        </w:rPr>
        <w:t xml:space="preserve">ent un seuil minimum de gravité qui </w:t>
      </w:r>
      <w:r w:rsidR="007869FE" w:rsidRPr="00A66252">
        <w:rPr>
          <w:rFonts w:cs="Times New Roman"/>
          <w:szCs w:val="24"/>
          <w:lang w:val="fr-FR"/>
        </w:rPr>
        <w:t>devait</w:t>
      </w:r>
      <w:r w:rsidR="00912274" w:rsidRPr="00A66252">
        <w:rPr>
          <w:rFonts w:cs="Times New Roman"/>
          <w:szCs w:val="24"/>
          <w:lang w:val="fr-FR"/>
        </w:rPr>
        <w:t xml:space="preserve"> être élevé, </w:t>
      </w:r>
      <w:r w:rsidR="007869FE" w:rsidRPr="00A66252">
        <w:rPr>
          <w:rFonts w:cs="Times New Roman"/>
          <w:szCs w:val="24"/>
          <w:lang w:val="fr-FR"/>
        </w:rPr>
        <w:t>étaient</w:t>
      </w:r>
      <w:r w:rsidR="00912274" w:rsidRPr="00A66252">
        <w:rPr>
          <w:rFonts w:cs="Times New Roman"/>
          <w:szCs w:val="24"/>
          <w:lang w:val="fr-FR"/>
        </w:rPr>
        <w:t xml:space="preserve"> susceptibles de répondre aux conditions de l</w:t>
      </w:r>
      <w:r w:rsidR="00A66252" w:rsidRPr="00A66252">
        <w:rPr>
          <w:rFonts w:cs="Times New Roman"/>
          <w:szCs w:val="24"/>
          <w:lang w:val="fr-FR"/>
        </w:rPr>
        <w:t>’</w:t>
      </w:r>
      <w:r w:rsidR="00912274" w:rsidRPr="00A66252">
        <w:rPr>
          <w:rFonts w:cs="Times New Roman"/>
          <w:szCs w:val="24"/>
          <w:lang w:val="fr-FR"/>
        </w:rPr>
        <w:t>article 3. Et le Conseil d</w:t>
      </w:r>
      <w:r w:rsidR="00A66252" w:rsidRPr="00A66252">
        <w:rPr>
          <w:rFonts w:cs="Times New Roman"/>
          <w:szCs w:val="24"/>
          <w:lang w:val="fr-FR"/>
        </w:rPr>
        <w:t>’</w:t>
      </w:r>
      <w:r w:rsidR="00912274" w:rsidRPr="00A66252">
        <w:rPr>
          <w:rFonts w:cs="Times New Roman"/>
          <w:szCs w:val="24"/>
          <w:lang w:val="fr-FR"/>
        </w:rPr>
        <w:t xml:space="preserve">État de </w:t>
      </w:r>
      <w:r w:rsidR="00912274" w:rsidRPr="00A66252">
        <w:rPr>
          <w:rFonts w:cs="Times New Roman"/>
          <w:lang w:val="fr-FR"/>
        </w:rPr>
        <w:t xml:space="preserve">casser les arrêts précités du CCE du 27 novembre 2012 </w:t>
      </w:r>
      <w:r w:rsidR="00555C46" w:rsidRPr="00A66252">
        <w:rPr>
          <w:rFonts w:cs="Times New Roman"/>
          <w:lang w:val="fr-FR"/>
        </w:rPr>
        <w:t>(voir paragraphe 10</w:t>
      </w:r>
      <w:r w:rsidR="00F7184B" w:rsidRPr="00A66252">
        <w:rPr>
          <w:rFonts w:cs="Times New Roman"/>
          <w:lang w:val="fr-FR"/>
        </w:rPr>
        <w:t>2</w:t>
      </w:r>
      <w:r w:rsidR="00555C46" w:rsidRPr="00A66252">
        <w:rPr>
          <w:rFonts w:cs="Times New Roman"/>
          <w:lang w:val="fr-FR"/>
        </w:rPr>
        <w:t xml:space="preserve">, ci-dessus) </w:t>
      </w:r>
      <w:r w:rsidR="00912274" w:rsidRPr="00A66252">
        <w:rPr>
          <w:rFonts w:cs="Times New Roman"/>
          <w:lang w:val="fr-FR"/>
        </w:rPr>
        <w:t xml:space="preserve">pour avoir </w:t>
      </w:r>
      <w:r w:rsidR="00912274" w:rsidRPr="00A66252">
        <w:rPr>
          <w:rFonts w:cs="Times New Roman"/>
          <w:szCs w:val="24"/>
          <w:lang w:val="fr-FR"/>
        </w:rPr>
        <w:t>conféré à l</w:t>
      </w:r>
      <w:r w:rsidR="00A66252" w:rsidRPr="00A66252">
        <w:rPr>
          <w:rFonts w:cs="Times New Roman"/>
          <w:szCs w:val="24"/>
          <w:lang w:val="fr-FR"/>
        </w:rPr>
        <w:t>’</w:t>
      </w:r>
      <w:r w:rsidR="00912274" w:rsidRPr="00A66252">
        <w:rPr>
          <w:rFonts w:cs="Times New Roman"/>
          <w:szCs w:val="24"/>
          <w:lang w:val="fr-FR"/>
        </w:rPr>
        <w:t>article 9</w:t>
      </w:r>
      <w:r w:rsidR="00912274" w:rsidRPr="00A66252">
        <w:rPr>
          <w:rFonts w:cs="Times New Roman"/>
          <w:i/>
          <w:szCs w:val="24"/>
          <w:lang w:val="fr-FR"/>
        </w:rPr>
        <w:t>ter</w:t>
      </w:r>
      <w:r w:rsidR="00912274" w:rsidRPr="00A66252">
        <w:rPr>
          <w:rFonts w:cs="Times New Roman"/>
          <w:szCs w:val="24"/>
          <w:lang w:val="fr-FR"/>
        </w:rPr>
        <w:t xml:space="preserve"> une portée qu</w:t>
      </w:r>
      <w:r w:rsidR="00A66252" w:rsidRPr="00A66252">
        <w:rPr>
          <w:rFonts w:cs="Times New Roman"/>
          <w:szCs w:val="24"/>
          <w:lang w:val="fr-FR"/>
        </w:rPr>
        <w:t>’</w:t>
      </w:r>
      <w:r w:rsidR="00912274" w:rsidRPr="00A66252">
        <w:rPr>
          <w:rFonts w:cs="Times New Roman"/>
          <w:szCs w:val="24"/>
          <w:lang w:val="fr-FR"/>
        </w:rPr>
        <w:t>il n</w:t>
      </w:r>
      <w:r w:rsidR="00A66252" w:rsidRPr="00A66252">
        <w:rPr>
          <w:rFonts w:cs="Times New Roman"/>
          <w:szCs w:val="24"/>
          <w:lang w:val="fr-FR"/>
        </w:rPr>
        <w:t>’</w:t>
      </w:r>
      <w:r w:rsidR="00912274" w:rsidRPr="00A66252">
        <w:rPr>
          <w:rFonts w:cs="Times New Roman"/>
          <w:szCs w:val="24"/>
          <w:lang w:val="fr-FR"/>
        </w:rPr>
        <w:t>avait pas (C.E.</w:t>
      </w:r>
      <w:r w:rsidR="00912274" w:rsidRPr="00A66252">
        <w:rPr>
          <w:rFonts w:cs="Times New Roman"/>
          <w:lang w:val="fr-FR"/>
        </w:rPr>
        <w:t xml:space="preserve">, </w:t>
      </w:r>
      <w:r w:rsidR="00C95847" w:rsidRPr="00A66252">
        <w:rPr>
          <w:rFonts w:cs="Times New Roman"/>
          <w:lang w:val="fr-FR"/>
        </w:rPr>
        <w:t xml:space="preserve">arrêts </w:t>
      </w:r>
      <w:r w:rsidR="00940DBB" w:rsidRPr="00A66252">
        <w:rPr>
          <w:rFonts w:cs="Times New Roman"/>
          <w:lang w:val="fr-FR"/>
        </w:rPr>
        <w:t>n</w:t>
      </w:r>
      <w:r w:rsidR="00940DBB" w:rsidRPr="00A66252">
        <w:rPr>
          <w:rFonts w:cs="Times New Roman"/>
          <w:vertAlign w:val="superscript"/>
          <w:lang w:val="fr-FR"/>
        </w:rPr>
        <w:t>os</w:t>
      </w:r>
      <w:r w:rsidR="00940DBB" w:rsidRPr="00A66252">
        <w:rPr>
          <w:rFonts w:cs="Times New Roman"/>
          <w:lang w:val="fr-FR"/>
        </w:rPr>
        <w:t xml:space="preserve"> 225.522 et 225.523, </w:t>
      </w:r>
      <w:r w:rsidR="00912274" w:rsidRPr="00A66252">
        <w:rPr>
          <w:rFonts w:cs="Times New Roman"/>
          <w:lang w:val="fr-FR"/>
        </w:rPr>
        <w:t>19 novembre 2013,).</w:t>
      </w:r>
    </w:p>
    <w:p w:rsidR="00A66252" w:rsidRPr="00A66252" w:rsidRDefault="00FC08FE" w:rsidP="00A66252">
      <w:pPr>
        <w:pStyle w:val="ECHRPara"/>
        <w:rPr>
          <w:rFonts w:cs="Times New Roman"/>
          <w:szCs w:val="24"/>
          <w:lang w:val="fr-FR"/>
        </w:rPr>
      </w:pPr>
      <w:r w:rsidRPr="00A66252">
        <w:rPr>
          <w:rFonts w:cs="Times New Roman"/>
          <w:lang w:val="fr-FR"/>
        </w:rPr>
        <w:fldChar w:fldCharType="begin"/>
      </w:r>
      <w:r w:rsidRPr="00A66252">
        <w:rPr>
          <w:rFonts w:cs="Times New Roman"/>
          <w:lang w:val="fr-FR"/>
        </w:rPr>
        <w:instrText xml:space="preserve"> SEQ level0 \*arabic </w:instrText>
      </w:r>
      <w:r w:rsidRPr="00A66252">
        <w:rPr>
          <w:rFonts w:cs="Times New Roman"/>
          <w:lang w:val="fr-FR"/>
        </w:rPr>
        <w:fldChar w:fldCharType="separate"/>
      </w:r>
      <w:r w:rsidR="00A66252" w:rsidRPr="00A66252">
        <w:rPr>
          <w:rFonts w:cs="Times New Roman"/>
          <w:noProof/>
          <w:lang w:val="fr-FR"/>
        </w:rPr>
        <w:t>105</w:t>
      </w:r>
      <w:r w:rsidRPr="00A66252">
        <w:rPr>
          <w:rFonts w:cs="Times New Roman"/>
          <w:lang w:val="fr-FR"/>
        </w:rPr>
        <w:fldChar w:fldCharType="end"/>
      </w:r>
      <w:r w:rsidRPr="00A66252">
        <w:rPr>
          <w:rFonts w:cs="Times New Roman"/>
          <w:lang w:val="fr-FR"/>
        </w:rPr>
        <w:t>.  </w:t>
      </w:r>
      <w:r w:rsidR="00912274" w:rsidRPr="00A66252">
        <w:rPr>
          <w:rFonts w:cs="Times New Roman"/>
          <w:szCs w:val="24"/>
          <w:lang w:val="fr-FR"/>
        </w:rPr>
        <w:t>La divergence dans la jurisprudence du Conseil d</w:t>
      </w:r>
      <w:r w:rsidR="00A66252" w:rsidRPr="00A66252">
        <w:rPr>
          <w:rFonts w:cs="Times New Roman"/>
          <w:szCs w:val="24"/>
          <w:lang w:val="fr-FR"/>
        </w:rPr>
        <w:t>’</w:t>
      </w:r>
      <w:r w:rsidR="00800622" w:rsidRPr="00A66252">
        <w:rPr>
          <w:rFonts w:cs="Times New Roman"/>
          <w:szCs w:val="24"/>
          <w:lang w:val="fr-FR"/>
        </w:rPr>
        <w:t>É</w:t>
      </w:r>
      <w:r w:rsidR="00912274" w:rsidRPr="00A66252">
        <w:rPr>
          <w:rFonts w:cs="Times New Roman"/>
          <w:szCs w:val="24"/>
          <w:lang w:val="fr-FR"/>
        </w:rPr>
        <w:t>tat s</w:t>
      </w:r>
      <w:r w:rsidR="00A66252" w:rsidRPr="00A66252">
        <w:rPr>
          <w:rFonts w:cs="Times New Roman"/>
          <w:szCs w:val="24"/>
          <w:lang w:val="fr-FR"/>
        </w:rPr>
        <w:t>’</w:t>
      </w:r>
      <w:r w:rsidR="00912274" w:rsidRPr="00A66252">
        <w:rPr>
          <w:rFonts w:cs="Times New Roman"/>
          <w:szCs w:val="24"/>
          <w:lang w:val="fr-FR"/>
        </w:rPr>
        <w:t xml:space="preserve">acheva le 16 octobre 2014 quand la chambre </w:t>
      </w:r>
      <w:r w:rsidR="00B42613" w:rsidRPr="00A66252">
        <w:rPr>
          <w:rFonts w:cs="Times New Roman"/>
          <w:szCs w:val="24"/>
          <w:lang w:val="fr-FR"/>
        </w:rPr>
        <w:t>francophone rejoignit l</w:t>
      </w:r>
      <w:r w:rsidR="00A66252" w:rsidRPr="00A66252">
        <w:rPr>
          <w:rFonts w:cs="Times New Roman"/>
          <w:szCs w:val="24"/>
          <w:lang w:val="fr-FR"/>
        </w:rPr>
        <w:t>’</w:t>
      </w:r>
      <w:r w:rsidR="00B42613" w:rsidRPr="00A66252">
        <w:rPr>
          <w:rFonts w:cs="Times New Roman"/>
          <w:szCs w:val="24"/>
          <w:lang w:val="fr-FR"/>
        </w:rPr>
        <w:t xml:space="preserve">interprétation de la chambre néerlandophone. </w:t>
      </w:r>
      <w:r w:rsidR="00912274" w:rsidRPr="00A66252">
        <w:rPr>
          <w:rFonts w:cs="Times New Roman"/>
          <w:szCs w:val="24"/>
          <w:lang w:val="fr-FR"/>
        </w:rPr>
        <w:t>Se référant aux conclusions de l</w:t>
      </w:r>
      <w:r w:rsidR="00A66252" w:rsidRPr="00A66252">
        <w:rPr>
          <w:rFonts w:cs="Times New Roman"/>
          <w:szCs w:val="24"/>
          <w:lang w:val="fr-FR"/>
        </w:rPr>
        <w:t>’</w:t>
      </w:r>
      <w:r w:rsidR="00912274" w:rsidRPr="00A66252">
        <w:rPr>
          <w:rFonts w:cs="Times New Roman"/>
          <w:szCs w:val="24"/>
          <w:lang w:val="fr-FR"/>
        </w:rPr>
        <w:t>avocat général Bot de la Cour de Justice de l</w:t>
      </w:r>
      <w:r w:rsidR="00A66252" w:rsidRPr="00A66252">
        <w:rPr>
          <w:rFonts w:cs="Times New Roman"/>
          <w:szCs w:val="24"/>
          <w:lang w:val="fr-FR"/>
        </w:rPr>
        <w:t>’</w:t>
      </w:r>
      <w:r w:rsidR="00912274" w:rsidRPr="00A66252">
        <w:rPr>
          <w:rFonts w:cs="Times New Roman"/>
          <w:szCs w:val="24"/>
          <w:lang w:val="fr-FR"/>
        </w:rPr>
        <w:t xml:space="preserve">Union européenne </w:t>
      </w:r>
      <w:r w:rsidR="00B36199" w:rsidRPr="00A66252">
        <w:rPr>
          <w:lang w:val="fr-FR"/>
        </w:rPr>
        <w:t xml:space="preserve">(« CJUE ») </w:t>
      </w:r>
      <w:r w:rsidR="00912274" w:rsidRPr="00A66252">
        <w:rPr>
          <w:rFonts w:cs="Times New Roman"/>
          <w:szCs w:val="24"/>
          <w:lang w:val="fr-FR"/>
        </w:rPr>
        <w:t>dans le cadre de l</w:t>
      </w:r>
      <w:r w:rsidR="00A66252" w:rsidRPr="00A66252">
        <w:rPr>
          <w:rFonts w:cs="Times New Roman"/>
          <w:szCs w:val="24"/>
          <w:lang w:val="fr-FR"/>
        </w:rPr>
        <w:t>’</w:t>
      </w:r>
      <w:r w:rsidR="00912274" w:rsidRPr="00A66252">
        <w:rPr>
          <w:rFonts w:cs="Times New Roman"/>
          <w:szCs w:val="24"/>
          <w:lang w:val="fr-FR"/>
        </w:rPr>
        <w:t xml:space="preserve">affaire </w:t>
      </w:r>
      <w:r w:rsidR="00912274" w:rsidRPr="00A66252">
        <w:rPr>
          <w:rFonts w:cs="Times New Roman"/>
          <w:i/>
          <w:szCs w:val="24"/>
          <w:lang w:val="fr-FR"/>
        </w:rPr>
        <w:t>M</w:t>
      </w:r>
      <w:r w:rsidR="00A66252" w:rsidRPr="00A66252">
        <w:rPr>
          <w:rFonts w:cs="Times New Roman"/>
          <w:i/>
          <w:szCs w:val="24"/>
          <w:lang w:val="fr-FR"/>
        </w:rPr>
        <w:t>’</w:t>
      </w:r>
      <w:proofErr w:type="spellStart"/>
      <w:r w:rsidR="00912274" w:rsidRPr="00A66252">
        <w:rPr>
          <w:rFonts w:cs="Times New Roman"/>
          <w:i/>
          <w:szCs w:val="24"/>
          <w:lang w:val="fr-FR"/>
        </w:rPr>
        <w:t>Bodj</w:t>
      </w:r>
      <w:proofErr w:type="spellEnd"/>
      <w:r w:rsidR="00912274" w:rsidRPr="00A66252">
        <w:rPr>
          <w:rFonts w:cs="Times New Roman"/>
          <w:szCs w:val="24"/>
          <w:lang w:val="fr-FR"/>
        </w:rPr>
        <w:t xml:space="preserve"> (C-542/13</w:t>
      </w:r>
      <w:r w:rsidR="00C50DF0" w:rsidRPr="00A66252">
        <w:rPr>
          <w:rFonts w:cs="Times New Roman"/>
          <w:szCs w:val="24"/>
          <w:lang w:val="fr-FR"/>
        </w:rPr>
        <w:t>, voir paragraphe</w:t>
      </w:r>
      <w:r w:rsidR="00C00E5F" w:rsidRPr="00A66252">
        <w:rPr>
          <w:rFonts w:cs="Times New Roman"/>
          <w:szCs w:val="24"/>
          <w:lang w:val="fr-FR"/>
        </w:rPr>
        <w:t xml:space="preserve"> </w:t>
      </w:r>
      <w:r w:rsidR="00C00E5F" w:rsidRPr="00A66252">
        <w:rPr>
          <w:rFonts w:cs="Times New Roman"/>
          <w:szCs w:val="24"/>
          <w:lang w:val="fr-FR"/>
        </w:rPr>
        <w:fldChar w:fldCharType="begin"/>
      </w:r>
      <w:r w:rsidR="00C00E5F" w:rsidRPr="00A66252">
        <w:rPr>
          <w:rFonts w:cs="Times New Roman"/>
          <w:szCs w:val="24"/>
          <w:lang w:val="fr-FR"/>
        </w:rPr>
        <w:instrText xml:space="preserve"> REF MBODJ \h </w:instrText>
      </w:r>
      <w:r w:rsidR="00276F84" w:rsidRPr="00A66252">
        <w:rPr>
          <w:rFonts w:cs="Times New Roman"/>
          <w:szCs w:val="24"/>
          <w:lang w:val="fr-FR"/>
        </w:rPr>
        <w:instrText xml:space="preserve"> \* MERGEFORMAT </w:instrText>
      </w:r>
      <w:r w:rsidR="00C00E5F" w:rsidRPr="00A66252">
        <w:rPr>
          <w:rFonts w:cs="Times New Roman"/>
          <w:szCs w:val="24"/>
          <w:lang w:val="fr-FR"/>
        </w:rPr>
      </w:r>
      <w:r w:rsidR="00C00E5F" w:rsidRPr="00A66252">
        <w:rPr>
          <w:rFonts w:cs="Times New Roman"/>
          <w:szCs w:val="24"/>
          <w:lang w:val="fr-FR"/>
        </w:rPr>
        <w:fldChar w:fldCharType="separate"/>
      </w:r>
      <w:r w:rsidR="00A66252" w:rsidRPr="00A66252">
        <w:rPr>
          <w:bCs/>
          <w:noProof/>
          <w:lang w:val="fr-FR"/>
        </w:rPr>
        <w:t>121</w:t>
      </w:r>
      <w:r w:rsidR="00C00E5F" w:rsidRPr="00A66252">
        <w:rPr>
          <w:rFonts w:cs="Times New Roman"/>
          <w:szCs w:val="24"/>
          <w:lang w:val="fr-FR"/>
        </w:rPr>
        <w:fldChar w:fldCharType="end"/>
      </w:r>
      <w:r w:rsidR="00C50DF0" w:rsidRPr="00A66252">
        <w:rPr>
          <w:rFonts w:cs="Times New Roman"/>
          <w:szCs w:val="24"/>
          <w:lang w:val="fr-FR"/>
        </w:rPr>
        <w:t>, ci-dessous</w:t>
      </w:r>
      <w:r w:rsidR="00912274" w:rsidRPr="00A66252">
        <w:rPr>
          <w:rFonts w:cs="Times New Roman"/>
          <w:szCs w:val="24"/>
          <w:lang w:val="fr-FR"/>
        </w:rPr>
        <w:t>), alors pendante, selon lesquelles l</w:t>
      </w:r>
      <w:r w:rsidR="00A66252" w:rsidRPr="00A66252">
        <w:rPr>
          <w:rFonts w:cs="Times New Roman"/>
          <w:szCs w:val="24"/>
          <w:lang w:val="fr-FR"/>
        </w:rPr>
        <w:t>’</w:t>
      </w:r>
      <w:r w:rsidR="00912274" w:rsidRPr="00A66252">
        <w:rPr>
          <w:rFonts w:cs="Times New Roman"/>
          <w:szCs w:val="24"/>
          <w:lang w:val="fr-FR"/>
        </w:rPr>
        <w:t>article 9</w:t>
      </w:r>
      <w:r w:rsidR="00912274" w:rsidRPr="00A66252">
        <w:rPr>
          <w:rFonts w:cs="Times New Roman"/>
          <w:i/>
          <w:szCs w:val="24"/>
          <w:lang w:val="fr-FR"/>
        </w:rPr>
        <w:t>ter</w:t>
      </w:r>
      <w:r w:rsidR="00912274" w:rsidRPr="00A66252">
        <w:rPr>
          <w:rFonts w:cs="Times New Roman"/>
          <w:szCs w:val="24"/>
          <w:lang w:val="fr-FR"/>
        </w:rPr>
        <w:t xml:space="preserve"> de la loi sur les étrangers offrait une protection allant au-delà de la protection subsidiaire prévue par</w:t>
      </w:r>
      <w:r w:rsidR="00555C46" w:rsidRPr="00A66252">
        <w:rPr>
          <w:rFonts w:cs="Times New Roman"/>
          <w:szCs w:val="24"/>
          <w:lang w:val="fr-FR"/>
        </w:rPr>
        <w:t xml:space="preserve"> la</w:t>
      </w:r>
      <w:r w:rsidR="006D3D76" w:rsidRPr="00A66252">
        <w:rPr>
          <w:rFonts w:cs="Times New Roman"/>
          <w:szCs w:val="24"/>
          <w:lang w:val="fr-FR"/>
        </w:rPr>
        <w:t xml:space="preserve"> directive </w:t>
      </w:r>
      <w:r w:rsidR="00912274" w:rsidRPr="00A66252">
        <w:rPr>
          <w:rFonts w:cs="Times New Roman"/>
          <w:szCs w:val="24"/>
          <w:lang w:val="fr-FR"/>
        </w:rPr>
        <w:t>2004/83/CE du Conseil du 29 avril 2004 concernant les normes minimales relatives aux conditions que doivent remplir les ressortissants des pays tiers ou les apatrides pour pouvoir prétendre au statut de réfugié ou les personnes qui, pour d</w:t>
      </w:r>
      <w:r w:rsidR="00A66252" w:rsidRPr="00A66252">
        <w:rPr>
          <w:rFonts w:cs="Times New Roman"/>
          <w:szCs w:val="24"/>
          <w:lang w:val="fr-FR"/>
        </w:rPr>
        <w:t>’</w:t>
      </w:r>
      <w:r w:rsidR="00912274" w:rsidRPr="00A66252">
        <w:rPr>
          <w:rFonts w:cs="Times New Roman"/>
          <w:szCs w:val="24"/>
          <w:lang w:val="fr-FR"/>
        </w:rPr>
        <w:t>autres raisons, ont besoin d</w:t>
      </w:r>
      <w:r w:rsidR="00A66252" w:rsidRPr="00A66252">
        <w:rPr>
          <w:rFonts w:cs="Times New Roman"/>
          <w:szCs w:val="24"/>
          <w:lang w:val="fr-FR"/>
        </w:rPr>
        <w:t>’</w:t>
      </w:r>
      <w:r w:rsidR="00912274" w:rsidRPr="00A66252">
        <w:rPr>
          <w:rFonts w:cs="Times New Roman"/>
          <w:szCs w:val="24"/>
          <w:lang w:val="fr-FR"/>
        </w:rPr>
        <w:t>une protection internationale, et relatives au contenu de ces statuts (</w:t>
      </w:r>
      <w:r w:rsidR="00B36199" w:rsidRPr="00A66252">
        <w:rPr>
          <w:rFonts w:cs="Times New Roman"/>
          <w:szCs w:val="24"/>
          <w:lang w:val="fr-FR"/>
        </w:rPr>
        <w:t>« d</w:t>
      </w:r>
      <w:r w:rsidR="00912274" w:rsidRPr="00A66252">
        <w:rPr>
          <w:rFonts w:cs="Times New Roman"/>
          <w:szCs w:val="24"/>
          <w:lang w:val="fr-FR"/>
        </w:rPr>
        <w:t>irective Qualification</w:t>
      </w:r>
      <w:r w:rsidR="00B36199" w:rsidRPr="00A66252">
        <w:rPr>
          <w:rFonts w:cs="Times New Roman"/>
          <w:szCs w:val="24"/>
          <w:lang w:val="fr-FR"/>
        </w:rPr>
        <w:t> »</w:t>
      </w:r>
      <w:r w:rsidR="00912274" w:rsidRPr="00A66252">
        <w:rPr>
          <w:rFonts w:cs="Times New Roman"/>
          <w:szCs w:val="24"/>
          <w:lang w:val="fr-FR"/>
        </w:rPr>
        <w:t>), la chambre proposa une interprétation « autonome » de l</w:t>
      </w:r>
      <w:r w:rsidR="00A66252" w:rsidRPr="00A66252">
        <w:rPr>
          <w:rFonts w:cs="Times New Roman"/>
          <w:szCs w:val="24"/>
          <w:lang w:val="fr-FR"/>
        </w:rPr>
        <w:t>’</w:t>
      </w:r>
      <w:r w:rsidR="00912274" w:rsidRPr="00A66252">
        <w:rPr>
          <w:rFonts w:cs="Times New Roman"/>
          <w:szCs w:val="24"/>
          <w:lang w:val="fr-FR"/>
        </w:rPr>
        <w:t>article 9</w:t>
      </w:r>
      <w:r w:rsidR="00912274" w:rsidRPr="00A66252">
        <w:rPr>
          <w:rFonts w:cs="Times New Roman"/>
          <w:i/>
          <w:szCs w:val="24"/>
          <w:lang w:val="fr-FR"/>
        </w:rPr>
        <w:t>ter</w:t>
      </w:r>
      <w:r w:rsidR="00912274" w:rsidRPr="00A66252">
        <w:rPr>
          <w:rFonts w:cs="Times New Roman"/>
          <w:szCs w:val="24"/>
          <w:lang w:val="fr-FR"/>
        </w:rPr>
        <w:t xml:space="preserve"> § 1</w:t>
      </w:r>
      <w:r w:rsidR="00912274" w:rsidRPr="00A66252">
        <w:rPr>
          <w:rFonts w:cs="Times New Roman"/>
          <w:szCs w:val="24"/>
          <w:vertAlign w:val="superscript"/>
          <w:lang w:val="fr-FR"/>
        </w:rPr>
        <w:t>er</w:t>
      </w:r>
      <w:r w:rsidR="00B42613" w:rsidRPr="00A66252">
        <w:rPr>
          <w:rFonts w:cs="Times New Roman"/>
          <w:szCs w:val="24"/>
          <w:vertAlign w:val="superscript"/>
          <w:lang w:val="fr-FR"/>
        </w:rPr>
        <w:t xml:space="preserve"> </w:t>
      </w:r>
      <w:r w:rsidR="006B70A7" w:rsidRPr="00A66252">
        <w:rPr>
          <w:rFonts w:cs="Times New Roman"/>
          <w:iCs/>
          <w:szCs w:val="24"/>
          <w:lang w:val="fr-FR"/>
        </w:rPr>
        <w:t xml:space="preserve">dans la mesure </w:t>
      </w:r>
      <w:r w:rsidR="00555C46" w:rsidRPr="00A66252">
        <w:rPr>
          <w:rFonts w:cs="Times New Roman"/>
          <w:iCs/>
          <w:szCs w:val="24"/>
          <w:lang w:val="fr-FR"/>
        </w:rPr>
        <w:t>où cette disposition concerne l</w:t>
      </w:r>
      <w:r w:rsidR="00A66252" w:rsidRPr="00A66252">
        <w:rPr>
          <w:rFonts w:cs="Times New Roman"/>
          <w:iCs/>
          <w:szCs w:val="24"/>
          <w:lang w:val="fr-FR"/>
        </w:rPr>
        <w:t>’</w:t>
      </w:r>
      <w:r w:rsidR="006B70A7" w:rsidRPr="00A66252">
        <w:rPr>
          <w:rFonts w:cs="Times New Roman"/>
          <w:iCs/>
          <w:szCs w:val="24"/>
          <w:lang w:val="fr-FR"/>
        </w:rPr>
        <w:t>hypothèse des traitements inhumains ou dégradants en cas d</w:t>
      </w:r>
      <w:r w:rsidR="00A66252" w:rsidRPr="00A66252">
        <w:rPr>
          <w:rFonts w:cs="Times New Roman"/>
          <w:iCs/>
          <w:szCs w:val="24"/>
          <w:lang w:val="fr-FR"/>
        </w:rPr>
        <w:t>’</w:t>
      </w:r>
      <w:r w:rsidR="006B70A7" w:rsidRPr="00A66252">
        <w:rPr>
          <w:rFonts w:cs="Times New Roman"/>
          <w:iCs/>
          <w:szCs w:val="24"/>
          <w:lang w:val="fr-FR"/>
        </w:rPr>
        <w:t>absence de tr</w:t>
      </w:r>
      <w:r w:rsidR="00555C46" w:rsidRPr="00A66252">
        <w:rPr>
          <w:rFonts w:cs="Times New Roman"/>
          <w:iCs/>
          <w:szCs w:val="24"/>
          <w:lang w:val="fr-FR"/>
        </w:rPr>
        <w:t>aitement adéquat dans le pays d</w:t>
      </w:r>
      <w:r w:rsidR="00712647" w:rsidRPr="00A66252">
        <w:rPr>
          <w:rFonts w:cs="Times New Roman"/>
          <w:iCs/>
          <w:szCs w:val="24"/>
          <w:lang w:val="fr-FR"/>
        </w:rPr>
        <w:t>e destination</w:t>
      </w:r>
      <w:r w:rsidR="006B70A7" w:rsidRPr="00A66252">
        <w:rPr>
          <w:rFonts w:cs="Times New Roman"/>
          <w:szCs w:val="24"/>
          <w:lang w:val="fr-FR"/>
        </w:rPr>
        <w:t xml:space="preserve"> (C.E., </w:t>
      </w:r>
      <w:r w:rsidR="00C95847" w:rsidRPr="00A66252">
        <w:rPr>
          <w:rFonts w:cs="Times New Roman"/>
          <w:szCs w:val="24"/>
          <w:lang w:val="fr-FR"/>
        </w:rPr>
        <w:t>arrêt n</w:t>
      </w:r>
      <w:r w:rsidR="00C95847" w:rsidRPr="00A66252">
        <w:rPr>
          <w:rFonts w:cs="Times New Roman"/>
          <w:szCs w:val="24"/>
          <w:vertAlign w:val="superscript"/>
          <w:lang w:val="fr-FR"/>
        </w:rPr>
        <w:t>o</w:t>
      </w:r>
      <w:r w:rsidR="00C95847" w:rsidRPr="00A66252">
        <w:rPr>
          <w:rFonts w:cs="Times New Roman"/>
          <w:szCs w:val="24"/>
          <w:lang w:val="fr-FR"/>
        </w:rPr>
        <w:t xml:space="preserve"> 228.778, </w:t>
      </w:r>
      <w:r w:rsidR="006B70A7" w:rsidRPr="00A66252">
        <w:rPr>
          <w:rFonts w:cs="Times New Roman"/>
          <w:szCs w:val="24"/>
          <w:lang w:val="fr-FR"/>
        </w:rPr>
        <w:t>16 octobre 2014,).</w:t>
      </w:r>
    </w:p>
    <w:bookmarkStart w:id="28" w:name="JPCCE9TEREND"/>
    <w:p w:rsidR="00B42613" w:rsidRPr="00A66252" w:rsidRDefault="00B4261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106</w:t>
      </w:r>
      <w:r w:rsidRPr="00A66252">
        <w:rPr>
          <w:lang w:val="fr-FR"/>
        </w:rPr>
        <w:fldChar w:fldCharType="end"/>
      </w:r>
      <w:bookmarkEnd w:id="28"/>
      <w:r w:rsidRPr="00A66252">
        <w:rPr>
          <w:lang w:val="fr-FR"/>
        </w:rPr>
        <w:t>.  </w:t>
      </w:r>
      <w:r w:rsidR="00C22A95" w:rsidRPr="00A66252">
        <w:rPr>
          <w:lang w:val="fr-FR"/>
        </w:rPr>
        <w:t>À</w:t>
      </w:r>
      <w:r w:rsidRPr="00A66252">
        <w:rPr>
          <w:lang w:val="fr-FR"/>
        </w:rPr>
        <w:t xml:space="preserve"> la suite de la clarification de la jurisprudence du Conseil d</w:t>
      </w:r>
      <w:r w:rsidR="00A66252" w:rsidRPr="00A66252">
        <w:rPr>
          <w:lang w:val="fr-FR"/>
        </w:rPr>
        <w:t>’</w:t>
      </w:r>
      <w:r w:rsidR="00800622" w:rsidRPr="00A66252">
        <w:rPr>
          <w:lang w:val="fr-FR"/>
        </w:rPr>
        <w:t>É</w:t>
      </w:r>
      <w:r w:rsidRPr="00A66252">
        <w:rPr>
          <w:lang w:val="fr-FR"/>
        </w:rPr>
        <w:t>tat, le CCE unifia lui-même sa jurisprudence par cinq arrêts rendus en assemblée générale le 12 décembre 2014</w:t>
      </w:r>
      <w:r w:rsidR="00C50DF0" w:rsidRPr="00A66252">
        <w:rPr>
          <w:lang w:val="fr-FR"/>
        </w:rPr>
        <w:t xml:space="preserve"> (CCE</w:t>
      </w:r>
      <w:r w:rsidRPr="00A66252">
        <w:rPr>
          <w:lang w:val="fr-FR"/>
        </w:rPr>
        <w:t xml:space="preserve">, </w:t>
      </w:r>
      <w:r w:rsidR="00C50DF0" w:rsidRPr="00A66252">
        <w:rPr>
          <w:lang w:val="fr-FR"/>
        </w:rPr>
        <w:t xml:space="preserve">arrêts </w:t>
      </w:r>
      <w:r w:rsidRPr="00A66252">
        <w:rPr>
          <w:lang w:val="fr-FR"/>
        </w:rPr>
        <w:t>n</w:t>
      </w:r>
      <w:r w:rsidRPr="00A66252">
        <w:rPr>
          <w:vertAlign w:val="superscript"/>
          <w:lang w:val="fr-FR"/>
        </w:rPr>
        <w:t>os</w:t>
      </w:r>
      <w:r w:rsidRPr="00A66252">
        <w:rPr>
          <w:lang w:val="fr-FR"/>
        </w:rPr>
        <w:t xml:space="preserve"> 135.035, 135.037, 135.038, 135.039 et 135.041</w:t>
      </w:r>
      <w:r w:rsidR="00196291" w:rsidRPr="00A66252">
        <w:rPr>
          <w:lang w:val="fr-FR"/>
        </w:rPr>
        <w:t xml:space="preserve"> du 12 décembre 2014</w:t>
      </w:r>
      <w:r w:rsidR="00C50DF0" w:rsidRPr="00A66252">
        <w:rPr>
          <w:lang w:val="fr-FR"/>
        </w:rPr>
        <w:t>)</w:t>
      </w:r>
      <w:r w:rsidRPr="00A66252">
        <w:rPr>
          <w:lang w:val="fr-FR"/>
        </w:rPr>
        <w:t>.</w:t>
      </w:r>
    </w:p>
    <w:p w:rsidR="00C83E21" w:rsidRPr="00A66252" w:rsidRDefault="00B4261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107</w:t>
      </w:r>
      <w:r w:rsidRPr="00A66252">
        <w:rPr>
          <w:lang w:val="fr-FR"/>
        </w:rPr>
        <w:fldChar w:fldCharType="end"/>
      </w:r>
      <w:r w:rsidRPr="00A66252">
        <w:rPr>
          <w:lang w:val="fr-FR"/>
        </w:rPr>
        <w:t>.  </w:t>
      </w:r>
      <w:r w:rsidR="002302D6" w:rsidRPr="00A66252">
        <w:rPr>
          <w:lang w:val="fr-FR"/>
        </w:rPr>
        <w:t>L</w:t>
      </w:r>
      <w:r w:rsidR="00A66252" w:rsidRPr="00A66252">
        <w:rPr>
          <w:lang w:val="fr-FR"/>
        </w:rPr>
        <w:t>’</w:t>
      </w:r>
      <w:r w:rsidR="002302D6" w:rsidRPr="00A66252">
        <w:rPr>
          <w:lang w:val="fr-FR"/>
        </w:rPr>
        <w:t>interprétation « autonome » de l</w:t>
      </w:r>
      <w:r w:rsidR="00A66252" w:rsidRPr="00A66252">
        <w:rPr>
          <w:lang w:val="fr-FR"/>
        </w:rPr>
        <w:t>’</w:t>
      </w:r>
      <w:r w:rsidR="002302D6" w:rsidRPr="00A66252">
        <w:rPr>
          <w:lang w:val="fr-FR"/>
        </w:rPr>
        <w:t>article 9</w:t>
      </w:r>
      <w:r w:rsidR="002302D6" w:rsidRPr="00A66252">
        <w:rPr>
          <w:i/>
          <w:lang w:val="fr-FR"/>
        </w:rPr>
        <w:t>ter</w:t>
      </w:r>
      <w:r w:rsidR="002302D6" w:rsidRPr="00A66252">
        <w:rPr>
          <w:lang w:val="fr-FR"/>
        </w:rPr>
        <w:t xml:space="preserve"> représente l</w:t>
      </w:r>
      <w:r w:rsidR="00A66252" w:rsidRPr="00A66252">
        <w:rPr>
          <w:lang w:val="fr-FR"/>
        </w:rPr>
        <w:t>’</w:t>
      </w:r>
      <w:r w:rsidR="002302D6" w:rsidRPr="00A66252">
        <w:rPr>
          <w:lang w:val="fr-FR"/>
        </w:rPr>
        <w:t xml:space="preserve">actuel état du droit positif belge. Les arrêts précités du CCE (voir paragraphe </w:t>
      </w:r>
      <w:r w:rsidR="002302D6" w:rsidRPr="00A66252">
        <w:rPr>
          <w:lang w:val="fr-FR"/>
        </w:rPr>
        <w:fldChar w:fldCharType="begin"/>
      </w:r>
      <w:r w:rsidR="002302D6" w:rsidRPr="00A66252">
        <w:rPr>
          <w:lang w:val="fr-FR"/>
        </w:rPr>
        <w:instrText xml:space="preserve"> REF JPCCE9TEREND \h  \* MERGEFORMAT </w:instrText>
      </w:r>
      <w:r w:rsidR="002302D6" w:rsidRPr="00A66252">
        <w:rPr>
          <w:lang w:val="fr-FR"/>
        </w:rPr>
      </w:r>
      <w:r w:rsidR="002302D6" w:rsidRPr="00A66252">
        <w:rPr>
          <w:lang w:val="fr-FR"/>
        </w:rPr>
        <w:fldChar w:fldCharType="separate"/>
      </w:r>
      <w:r w:rsidR="00A66252" w:rsidRPr="00A66252">
        <w:rPr>
          <w:noProof/>
          <w:lang w:val="fr-FR"/>
        </w:rPr>
        <w:t>106</w:t>
      </w:r>
      <w:r w:rsidR="002302D6" w:rsidRPr="00A66252">
        <w:rPr>
          <w:lang w:val="fr-FR"/>
        </w:rPr>
        <w:fldChar w:fldCharType="end"/>
      </w:r>
      <w:r w:rsidR="002302D6" w:rsidRPr="00A66252">
        <w:rPr>
          <w:lang w:val="fr-FR"/>
        </w:rPr>
        <w:t>, ci-dessus) envisagent deux hypothèses dans lesquelles une maladie peut justifier l</w:t>
      </w:r>
      <w:r w:rsidR="00A66252" w:rsidRPr="00A66252">
        <w:rPr>
          <w:lang w:val="fr-FR"/>
        </w:rPr>
        <w:t>’</w:t>
      </w:r>
      <w:r w:rsidR="002302D6" w:rsidRPr="00A66252">
        <w:rPr>
          <w:lang w:val="fr-FR"/>
        </w:rPr>
        <w:t>octroi d</w:t>
      </w:r>
      <w:r w:rsidR="00A66252" w:rsidRPr="00A66252">
        <w:rPr>
          <w:lang w:val="fr-FR"/>
        </w:rPr>
        <w:t>’</w:t>
      </w:r>
      <w:r w:rsidR="002302D6" w:rsidRPr="00A66252">
        <w:rPr>
          <w:lang w:val="fr-FR"/>
        </w:rPr>
        <w:t>une autorisation de séjour. Soit l</w:t>
      </w:r>
      <w:r w:rsidR="00A66252" w:rsidRPr="00A66252">
        <w:rPr>
          <w:lang w:val="fr-FR"/>
        </w:rPr>
        <w:t>’</w:t>
      </w:r>
      <w:r w:rsidR="002302D6" w:rsidRPr="00A66252">
        <w:rPr>
          <w:lang w:val="fr-FR"/>
        </w:rPr>
        <w:t>étranger souffre actuellement d</w:t>
      </w:r>
      <w:r w:rsidR="00A66252" w:rsidRPr="00A66252">
        <w:rPr>
          <w:lang w:val="fr-FR"/>
        </w:rPr>
        <w:t>’</w:t>
      </w:r>
      <w:r w:rsidR="002302D6" w:rsidRPr="00A66252">
        <w:rPr>
          <w:lang w:val="fr-FR"/>
        </w:rPr>
        <w:t>une maladie menaçant sa vie ou d</w:t>
      </w:r>
      <w:r w:rsidR="00A66252" w:rsidRPr="00A66252">
        <w:rPr>
          <w:lang w:val="fr-FR"/>
        </w:rPr>
        <w:t>’</w:t>
      </w:r>
      <w:r w:rsidR="002302D6" w:rsidRPr="00A66252">
        <w:rPr>
          <w:lang w:val="fr-FR"/>
        </w:rPr>
        <w:t>une affection qui emporte actuellement un danger pour son intégrité physique, ce qui signifie que le risque invoqué pour sa vie ou l</w:t>
      </w:r>
      <w:r w:rsidR="00A66252" w:rsidRPr="00A66252">
        <w:rPr>
          <w:lang w:val="fr-FR"/>
        </w:rPr>
        <w:t>’</w:t>
      </w:r>
      <w:r w:rsidR="002302D6" w:rsidRPr="00A66252">
        <w:rPr>
          <w:lang w:val="fr-FR"/>
        </w:rPr>
        <w:t xml:space="preserve">atteinte à son intégrité physique doit être </w:t>
      </w:r>
      <w:r w:rsidR="002302D6" w:rsidRPr="00A66252">
        <w:rPr>
          <w:lang w:val="fr-FR"/>
        </w:rPr>
        <w:lastRenderedPageBreak/>
        <w:t>imminent et que l</w:t>
      </w:r>
      <w:r w:rsidR="00A66252" w:rsidRPr="00A66252">
        <w:rPr>
          <w:lang w:val="fr-FR"/>
        </w:rPr>
        <w:t>’</w:t>
      </w:r>
      <w:r w:rsidR="002302D6" w:rsidRPr="00A66252">
        <w:rPr>
          <w:lang w:val="fr-FR"/>
        </w:rPr>
        <w:t>étranger n</w:t>
      </w:r>
      <w:r w:rsidR="00A66252" w:rsidRPr="00A66252">
        <w:rPr>
          <w:lang w:val="fr-FR"/>
        </w:rPr>
        <w:t>’</w:t>
      </w:r>
      <w:r w:rsidR="002302D6" w:rsidRPr="00A66252">
        <w:rPr>
          <w:lang w:val="fr-FR"/>
        </w:rPr>
        <w:t>est de ce fait pas en état de voyager. Soit l</w:t>
      </w:r>
      <w:r w:rsidR="00A66252" w:rsidRPr="00A66252">
        <w:rPr>
          <w:lang w:val="fr-FR"/>
        </w:rPr>
        <w:t>’</w:t>
      </w:r>
      <w:r w:rsidR="002302D6" w:rsidRPr="00A66252">
        <w:rPr>
          <w:lang w:val="fr-FR"/>
        </w:rPr>
        <w:t>étranger risque de subir un traitement inhumain et dégradant s</w:t>
      </w:r>
      <w:r w:rsidR="00A66252" w:rsidRPr="00A66252">
        <w:rPr>
          <w:lang w:val="fr-FR"/>
        </w:rPr>
        <w:t>’</w:t>
      </w:r>
      <w:r w:rsidR="002302D6" w:rsidRPr="00A66252">
        <w:rPr>
          <w:lang w:val="fr-FR"/>
        </w:rPr>
        <w:t>il n</w:t>
      </w:r>
      <w:r w:rsidR="00A66252" w:rsidRPr="00A66252">
        <w:rPr>
          <w:lang w:val="fr-FR"/>
        </w:rPr>
        <w:t>’</w:t>
      </w:r>
      <w:r w:rsidR="002302D6" w:rsidRPr="00A66252">
        <w:rPr>
          <w:lang w:val="fr-FR"/>
        </w:rPr>
        <w:t>existe pas de traitement adéquat pour sa maladie ou son affection dans le pays de destination. Dans ce dernier cas, même s</w:t>
      </w:r>
      <w:r w:rsidR="00A66252" w:rsidRPr="00A66252">
        <w:rPr>
          <w:lang w:val="fr-FR"/>
        </w:rPr>
        <w:t>’</w:t>
      </w:r>
      <w:r w:rsidR="002302D6" w:rsidRPr="00A66252">
        <w:rPr>
          <w:lang w:val="fr-FR"/>
        </w:rPr>
        <w:t>il ne s</w:t>
      </w:r>
      <w:r w:rsidR="00A66252" w:rsidRPr="00A66252">
        <w:rPr>
          <w:lang w:val="fr-FR"/>
        </w:rPr>
        <w:t>’</w:t>
      </w:r>
      <w:r w:rsidR="002302D6" w:rsidRPr="00A66252">
        <w:rPr>
          <w:lang w:val="fr-FR"/>
        </w:rPr>
        <w:t>agit pas d</w:t>
      </w:r>
      <w:r w:rsidR="00A66252" w:rsidRPr="00A66252">
        <w:rPr>
          <w:lang w:val="fr-FR"/>
        </w:rPr>
        <w:t>’</w:t>
      </w:r>
      <w:r w:rsidR="002302D6" w:rsidRPr="00A66252">
        <w:rPr>
          <w:lang w:val="fr-FR"/>
        </w:rPr>
        <w:t>une maladie présentant un danger imminent pour la vie, un certain degré de gravité de la maladie ou de l</w:t>
      </w:r>
      <w:r w:rsidR="00A66252" w:rsidRPr="00A66252">
        <w:rPr>
          <w:lang w:val="fr-FR"/>
        </w:rPr>
        <w:t>’</w:t>
      </w:r>
      <w:r w:rsidR="002302D6" w:rsidRPr="00A66252">
        <w:rPr>
          <w:lang w:val="fr-FR"/>
        </w:rPr>
        <w:t>affection invoquée est toutefois requis.</w:t>
      </w:r>
    </w:p>
    <w:p w:rsidR="00FF2102" w:rsidRPr="00A66252" w:rsidRDefault="00D4368C" w:rsidP="00A66252">
      <w:pPr>
        <w:pStyle w:val="ECHRHeading2"/>
        <w:rPr>
          <w:lang w:val="fr-FR"/>
        </w:rPr>
      </w:pPr>
      <w:r w:rsidRPr="00A66252">
        <w:rPr>
          <w:lang w:val="fr-FR"/>
        </w:rPr>
        <w:t>B</w:t>
      </w:r>
      <w:r w:rsidR="00FF2102" w:rsidRPr="00A66252">
        <w:rPr>
          <w:lang w:val="fr-FR"/>
        </w:rPr>
        <w:t>.  L</w:t>
      </w:r>
      <w:r w:rsidR="00A66252" w:rsidRPr="00A66252">
        <w:rPr>
          <w:lang w:val="fr-FR"/>
        </w:rPr>
        <w:t>’</w:t>
      </w:r>
      <w:r w:rsidR="00FF2102" w:rsidRPr="00A66252">
        <w:rPr>
          <w:lang w:val="fr-FR"/>
        </w:rPr>
        <w:t>éloignement du territoire et l</w:t>
      </w:r>
      <w:r w:rsidR="00A66252" w:rsidRPr="00A66252">
        <w:rPr>
          <w:lang w:val="fr-FR"/>
        </w:rPr>
        <w:t>’</w:t>
      </w:r>
      <w:r w:rsidR="00FF2102" w:rsidRPr="00A66252">
        <w:rPr>
          <w:lang w:val="fr-FR"/>
        </w:rPr>
        <w:t>interdiction d</w:t>
      </w:r>
      <w:r w:rsidR="00A66252" w:rsidRPr="00A66252">
        <w:rPr>
          <w:lang w:val="fr-FR"/>
        </w:rPr>
        <w:t>’</w:t>
      </w:r>
      <w:r w:rsidR="00FF2102" w:rsidRPr="00A66252">
        <w:rPr>
          <w:lang w:val="fr-FR"/>
        </w:rPr>
        <w:t>entrée en raison de l</w:t>
      </w:r>
      <w:r w:rsidR="00A66252" w:rsidRPr="00A66252">
        <w:rPr>
          <w:lang w:val="fr-FR"/>
        </w:rPr>
        <w:t>’</w:t>
      </w:r>
      <w:r w:rsidR="00FF2102" w:rsidRPr="00A66252">
        <w:rPr>
          <w:lang w:val="fr-FR"/>
        </w:rPr>
        <w:t>atteinte à l</w:t>
      </w:r>
      <w:r w:rsidR="00A66252" w:rsidRPr="00A66252">
        <w:rPr>
          <w:lang w:val="fr-FR"/>
        </w:rPr>
        <w:t>’</w:t>
      </w:r>
      <w:r w:rsidR="00FF2102" w:rsidRPr="00A66252">
        <w:rPr>
          <w:lang w:val="fr-FR"/>
        </w:rPr>
        <w:t>ordre public</w:t>
      </w:r>
    </w:p>
    <w:p w:rsidR="00F56B88" w:rsidRPr="00A66252" w:rsidRDefault="00D4368C"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108</w:t>
      </w:r>
      <w:r w:rsidRPr="00A66252">
        <w:rPr>
          <w:lang w:val="fr-FR"/>
        </w:rPr>
        <w:fldChar w:fldCharType="end"/>
      </w:r>
      <w:r w:rsidRPr="00A66252">
        <w:rPr>
          <w:lang w:val="fr-FR"/>
        </w:rPr>
        <w:t>.  </w:t>
      </w:r>
      <w:r w:rsidR="007A0E5D" w:rsidRPr="00A66252">
        <w:rPr>
          <w:lang w:val="fr-FR"/>
        </w:rPr>
        <w:t>L</w:t>
      </w:r>
      <w:r w:rsidR="00A66252" w:rsidRPr="00A66252">
        <w:rPr>
          <w:lang w:val="fr-FR"/>
        </w:rPr>
        <w:t>’</w:t>
      </w:r>
      <w:r w:rsidR="007A0E5D" w:rsidRPr="00A66252">
        <w:rPr>
          <w:lang w:val="fr-FR"/>
        </w:rPr>
        <w:t>éloignement des étrangers du territoire belge est principalement régi par les dispositions de l</w:t>
      </w:r>
      <w:r w:rsidR="00A66252" w:rsidRPr="00A66252">
        <w:rPr>
          <w:lang w:val="fr-FR"/>
        </w:rPr>
        <w:t>’</w:t>
      </w:r>
      <w:r w:rsidR="007A0E5D" w:rsidRPr="00A66252">
        <w:rPr>
          <w:lang w:val="fr-FR"/>
        </w:rPr>
        <w:t xml:space="preserve">article 7 de la loi sur les étrangers qui </w:t>
      </w:r>
      <w:r w:rsidR="00D87497" w:rsidRPr="00A66252">
        <w:rPr>
          <w:lang w:val="fr-FR"/>
        </w:rPr>
        <w:t>était</w:t>
      </w:r>
      <w:r w:rsidR="007A0E5D" w:rsidRPr="00A66252">
        <w:rPr>
          <w:lang w:val="fr-FR"/>
        </w:rPr>
        <w:t xml:space="preserve"> ainsi formulé </w:t>
      </w:r>
      <w:r w:rsidR="00D87497" w:rsidRPr="00A66252">
        <w:rPr>
          <w:lang w:val="fr-FR"/>
        </w:rPr>
        <w:t>à l</w:t>
      </w:r>
      <w:r w:rsidR="00A66252" w:rsidRPr="00A66252">
        <w:rPr>
          <w:lang w:val="fr-FR"/>
        </w:rPr>
        <w:t>’</w:t>
      </w:r>
      <w:r w:rsidR="00D87497" w:rsidRPr="00A66252">
        <w:rPr>
          <w:lang w:val="fr-FR"/>
        </w:rPr>
        <w:t>époque des faits</w:t>
      </w:r>
      <w:r w:rsidR="007A0E5D" w:rsidRPr="00A66252">
        <w:rPr>
          <w:lang w:val="fr-FR"/>
        </w:rPr>
        <w:t>:</w:t>
      </w:r>
    </w:p>
    <w:p w:rsidR="00D87497" w:rsidRPr="00A66252" w:rsidRDefault="00276F84" w:rsidP="00A66252">
      <w:pPr>
        <w:pStyle w:val="ECHRParaQuote"/>
        <w:rPr>
          <w:lang w:val="fr-FR"/>
        </w:rPr>
      </w:pPr>
      <w:r w:rsidRPr="00A66252">
        <w:rPr>
          <w:lang w:val="fr-FR"/>
        </w:rPr>
        <w:t>« </w:t>
      </w:r>
      <w:r w:rsidR="00D87497" w:rsidRPr="00A66252">
        <w:rPr>
          <w:lang w:val="fr-FR"/>
        </w:rPr>
        <w:t>Sans préjudice des dispositions plus favorables contenues dans un traité international, le Ministre ou son délégué peut donner l</w:t>
      </w:r>
      <w:r w:rsidR="00A66252" w:rsidRPr="00A66252">
        <w:rPr>
          <w:lang w:val="fr-FR"/>
        </w:rPr>
        <w:t>’</w:t>
      </w:r>
      <w:r w:rsidR="00D87497" w:rsidRPr="00A66252">
        <w:rPr>
          <w:lang w:val="fr-FR"/>
        </w:rPr>
        <w:t>ordre de quitter le territoire avant une date déterminée, à l</w:t>
      </w:r>
      <w:r w:rsidR="00A66252" w:rsidRPr="00A66252">
        <w:rPr>
          <w:lang w:val="fr-FR"/>
        </w:rPr>
        <w:t>’</w:t>
      </w:r>
      <w:r w:rsidR="00D87497" w:rsidRPr="00A66252">
        <w:rPr>
          <w:lang w:val="fr-FR"/>
        </w:rPr>
        <w:t>étranger qui n</w:t>
      </w:r>
      <w:r w:rsidR="00A66252" w:rsidRPr="00A66252">
        <w:rPr>
          <w:lang w:val="fr-FR"/>
        </w:rPr>
        <w:t>’</w:t>
      </w:r>
      <w:r w:rsidR="00D87497" w:rsidRPr="00A66252">
        <w:rPr>
          <w:lang w:val="fr-FR"/>
        </w:rPr>
        <w:t>est ni autorisé ni admis à séjourner plus de trois mois ou à s</w:t>
      </w:r>
      <w:r w:rsidR="00A66252" w:rsidRPr="00A66252">
        <w:rPr>
          <w:lang w:val="fr-FR"/>
        </w:rPr>
        <w:t>’</w:t>
      </w:r>
      <w:r w:rsidR="00D87497" w:rsidRPr="00A66252">
        <w:rPr>
          <w:lang w:val="fr-FR"/>
        </w:rPr>
        <w:t>établir dans le Royaume:</w:t>
      </w:r>
    </w:p>
    <w:p w:rsidR="00D87497" w:rsidRPr="00A66252" w:rsidRDefault="00761BF3" w:rsidP="00A66252">
      <w:pPr>
        <w:pStyle w:val="ECHRParaQuote"/>
        <w:rPr>
          <w:lang w:val="fr-FR"/>
        </w:rPr>
      </w:pPr>
      <w:r w:rsidRPr="00A66252">
        <w:rPr>
          <w:lang w:val="fr-FR"/>
        </w:rPr>
        <w:t>1.  </w:t>
      </w:r>
      <w:r w:rsidR="00D87497" w:rsidRPr="00A66252">
        <w:rPr>
          <w:lang w:val="fr-FR"/>
        </w:rPr>
        <w:t>s</w:t>
      </w:r>
      <w:r w:rsidR="00A66252" w:rsidRPr="00A66252">
        <w:rPr>
          <w:lang w:val="fr-FR"/>
        </w:rPr>
        <w:t>’</w:t>
      </w:r>
      <w:r w:rsidR="00D87497" w:rsidRPr="00A66252">
        <w:rPr>
          <w:lang w:val="fr-FR"/>
        </w:rPr>
        <w:t>il demeure dans le Royaume sans être porteur des documents requis par l</w:t>
      </w:r>
      <w:r w:rsidR="00A66252" w:rsidRPr="00A66252">
        <w:rPr>
          <w:lang w:val="fr-FR"/>
        </w:rPr>
        <w:t>’</w:t>
      </w:r>
      <w:r w:rsidR="00D87497" w:rsidRPr="00A66252">
        <w:rPr>
          <w:lang w:val="fr-FR"/>
        </w:rPr>
        <w:t>article</w:t>
      </w:r>
      <w:r w:rsidR="00276F84" w:rsidRPr="00A66252">
        <w:rPr>
          <w:lang w:val="fr-FR"/>
        </w:rPr>
        <w:t> </w:t>
      </w:r>
      <w:r w:rsidR="00D87497" w:rsidRPr="00A66252">
        <w:rPr>
          <w:lang w:val="fr-FR"/>
        </w:rPr>
        <w:t>2</w:t>
      </w:r>
      <w:r w:rsidR="00276F84" w:rsidRPr="00A66252">
        <w:rPr>
          <w:lang w:val="fr-FR"/>
        </w:rPr>
        <w:t> </w:t>
      </w:r>
      <w:r w:rsidR="00D87497" w:rsidRPr="00A66252">
        <w:rPr>
          <w:lang w:val="fr-FR"/>
        </w:rPr>
        <w:t>;</w:t>
      </w:r>
    </w:p>
    <w:p w:rsidR="00D87497" w:rsidRPr="00A66252" w:rsidRDefault="00761BF3" w:rsidP="00A66252">
      <w:pPr>
        <w:pStyle w:val="ECHRParaQuote"/>
        <w:rPr>
          <w:lang w:val="fr-FR"/>
        </w:rPr>
      </w:pPr>
      <w:r w:rsidRPr="00A66252">
        <w:rPr>
          <w:lang w:val="fr-FR"/>
        </w:rPr>
        <w:t>2.  </w:t>
      </w:r>
      <w:r w:rsidR="00D87497" w:rsidRPr="00A66252">
        <w:rPr>
          <w:lang w:val="fr-FR"/>
        </w:rPr>
        <w:t>s</w:t>
      </w:r>
      <w:r w:rsidR="00A66252" w:rsidRPr="00A66252">
        <w:rPr>
          <w:lang w:val="fr-FR"/>
        </w:rPr>
        <w:t>’</w:t>
      </w:r>
      <w:r w:rsidR="00D87497" w:rsidRPr="00A66252">
        <w:rPr>
          <w:lang w:val="fr-FR"/>
        </w:rPr>
        <w:t>il demeure dans le Royaume au-delà du délai fixé conformément à l</w:t>
      </w:r>
      <w:r w:rsidR="00A66252" w:rsidRPr="00A66252">
        <w:rPr>
          <w:lang w:val="fr-FR"/>
        </w:rPr>
        <w:t>’</w:t>
      </w:r>
      <w:r w:rsidR="00D87497" w:rsidRPr="00A66252">
        <w:rPr>
          <w:lang w:val="fr-FR"/>
        </w:rPr>
        <w:t>article 6, ou ne peut apporter la preuve que ce délai n</w:t>
      </w:r>
      <w:r w:rsidR="00A66252" w:rsidRPr="00A66252">
        <w:rPr>
          <w:lang w:val="fr-FR"/>
        </w:rPr>
        <w:t>’</w:t>
      </w:r>
      <w:r w:rsidR="00D87497" w:rsidRPr="00A66252">
        <w:rPr>
          <w:lang w:val="fr-FR"/>
        </w:rPr>
        <w:t>est pas dépassé</w:t>
      </w:r>
      <w:r w:rsidR="00276F84" w:rsidRPr="00A66252">
        <w:rPr>
          <w:lang w:val="fr-FR"/>
        </w:rPr>
        <w:t> </w:t>
      </w:r>
      <w:r w:rsidR="00D87497" w:rsidRPr="00A66252">
        <w:rPr>
          <w:lang w:val="fr-FR"/>
        </w:rPr>
        <w:t>;</w:t>
      </w:r>
    </w:p>
    <w:p w:rsidR="00D87497" w:rsidRPr="00A66252" w:rsidRDefault="00761BF3" w:rsidP="00A66252">
      <w:pPr>
        <w:pStyle w:val="ECHRParaQuote"/>
        <w:rPr>
          <w:lang w:val="fr-FR"/>
        </w:rPr>
      </w:pPr>
      <w:r w:rsidRPr="00A66252">
        <w:rPr>
          <w:lang w:val="fr-FR"/>
        </w:rPr>
        <w:t>3.  </w:t>
      </w:r>
      <w:r w:rsidR="00D87497" w:rsidRPr="00A66252">
        <w:rPr>
          <w:lang w:val="fr-FR"/>
        </w:rPr>
        <w:t>si, par son comportement, il est considéré comme pouvant compromettre l</w:t>
      </w:r>
      <w:r w:rsidR="00A66252" w:rsidRPr="00A66252">
        <w:rPr>
          <w:lang w:val="fr-FR"/>
        </w:rPr>
        <w:t>’</w:t>
      </w:r>
      <w:r w:rsidR="00D87497" w:rsidRPr="00A66252">
        <w:rPr>
          <w:lang w:val="fr-FR"/>
        </w:rPr>
        <w:t>ordre public ou la sécurité nationale</w:t>
      </w:r>
      <w:r w:rsidR="00276F84" w:rsidRPr="00A66252">
        <w:rPr>
          <w:lang w:val="fr-FR"/>
        </w:rPr>
        <w:t> </w:t>
      </w:r>
      <w:r w:rsidR="00D87497" w:rsidRPr="00A66252">
        <w:rPr>
          <w:lang w:val="fr-FR"/>
        </w:rPr>
        <w:t>; (...)</w:t>
      </w:r>
    </w:p>
    <w:p w:rsidR="00D87497" w:rsidRPr="00A66252" w:rsidRDefault="00D87497" w:rsidP="00A66252">
      <w:pPr>
        <w:pStyle w:val="ECHRParaQuote"/>
        <w:rPr>
          <w:lang w:val="fr-FR"/>
        </w:rPr>
      </w:pPr>
      <w:r w:rsidRPr="00A66252">
        <w:rPr>
          <w:lang w:val="fr-FR"/>
        </w:rPr>
        <w:t>Dans les mêmes cas, si le Ministre ou son délégué l</w:t>
      </w:r>
      <w:r w:rsidR="00A66252" w:rsidRPr="00A66252">
        <w:rPr>
          <w:lang w:val="fr-FR"/>
        </w:rPr>
        <w:t>’</w:t>
      </w:r>
      <w:r w:rsidRPr="00A66252">
        <w:rPr>
          <w:lang w:val="fr-FR"/>
        </w:rPr>
        <w:t>estime nécessaire, il peut faire ramener sans délai l</w:t>
      </w:r>
      <w:r w:rsidR="00A66252" w:rsidRPr="00A66252">
        <w:rPr>
          <w:lang w:val="fr-FR"/>
        </w:rPr>
        <w:t>’</w:t>
      </w:r>
      <w:r w:rsidRPr="00A66252">
        <w:rPr>
          <w:lang w:val="fr-FR"/>
        </w:rPr>
        <w:t>étranger à la frontière.</w:t>
      </w:r>
    </w:p>
    <w:p w:rsidR="00D87497" w:rsidRPr="00A66252" w:rsidRDefault="00D87497" w:rsidP="00A66252">
      <w:pPr>
        <w:pStyle w:val="ECHRParaQuote"/>
        <w:rPr>
          <w:lang w:val="fr-FR"/>
        </w:rPr>
      </w:pPr>
      <w:r w:rsidRPr="00A66252">
        <w:rPr>
          <w:lang w:val="fr-FR"/>
        </w:rPr>
        <w:t>L</w:t>
      </w:r>
      <w:r w:rsidR="00A66252" w:rsidRPr="00A66252">
        <w:rPr>
          <w:lang w:val="fr-FR"/>
        </w:rPr>
        <w:t>’</w:t>
      </w:r>
      <w:r w:rsidRPr="00A66252">
        <w:rPr>
          <w:lang w:val="fr-FR"/>
        </w:rPr>
        <w:t>étranger peut être détenu à cette fin pendant le temps strictement nécessaire à l</w:t>
      </w:r>
      <w:r w:rsidR="00A66252" w:rsidRPr="00A66252">
        <w:rPr>
          <w:lang w:val="fr-FR"/>
        </w:rPr>
        <w:t>’</w:t>
      </w:r>
      <w:r w:rsidRPr="00A66252">
        <w:rPr>
          <w:lang w:val="fr-FR"/>
        </w:rPr>
        <w:t>exécution de la mesure sans que la durée de la détention puisse dépasser deux mois.</w:t>
      </w:r>
    </w:p>
    <w:p w:rsidR="00D87497" w:rsidRPr="00A66252" w:rsidRDefault="00D87497" w:rsidP="00A66252">
      <w:pPr>
        <w:pStyle w:val="ECHRParaQuote"/>
        <w:rPr>
          <w:lang w:val="fr-FR"/>
        </w:rPr>
      </w:pPr>
      <w:r w:rsidRPr="00A66252">
        <w:rPr>
          <w:lang w:val="fr-FR"/>
        </w:rPr>
        <w:t>Le Ministre ou son délégué peut toutefois prolonger cette détention par période de deux mois, lorsque les démarches nécessaires en vue de l</w:t>
      </w:r>
      <w:r w:rsidR="00A66252" w:rsidRPr="00A66252">
        <w:rPr>
          <w:lang w:val="fr-FR"/>
        </w:rPr>
        <w:t>’</w:t>
      </w:r>
      <w:r w:rsidRPr="00A66252">
        <w:rPr>
          <w:lang w:val="fr-FR"/>
        </w:rPr>
        <w:t>éloignement de l</w:t>
      </w:r>
      <w:r w:rsidR="00A66252" w:rsidRPr="00A66252">
        <w:rPr>
          <w:lang w:val="fr-FR"/>
        </w:rPr>
        <w:t>’</w:t>
      </w:r>
      <w:r w:rsidRPr="00A66252">
        <w:rPr>
          <w:lang w:val="fr-FR"/>
        </w:rPr>
        <w:t>étranger ont été entreprises dans les sept jours ouvrables de la mise en détention de l</w:t>
      </w:r>
      <w:r w:rsidR="00A66252" w:rsidRPr="00A66252">
        <w:rPr>
          <w:lang w:val="fr-FR"/>
        </w:rPr>
        <w:t>’</w:t>
      </w:r>
      <w:r w:rsidRPr="00A66252">
        <w:rPr>
          <w:lang w:val="fr-FR"/>
        </w:rPr>
        <w:t>étranger, qu</w:t>
      </w:r>
      <w:r w:rsidR="00A66252" w:rsidRPr="00A66252">
        <w:rPr>
          <w:lang w:val="fr-FR"/>
        </w:rPr>
        <w:t>’</w:t>
      </w:r>
      <w:r w:rsidRPr="00A66252">
        <w:rPr>
          <w:lang w:val="fr-FR"/>
        </w:rPr>
        <w:t>elles sont poursuivies avec toute la diligence requise et qu</w:t>
      </w:r>
      <w:r w:rsidR="00A66252" w:rsidRPr="00A66252">
        <w:rPr>
          <w:lang w:val="fr-FR"/>
        </w:rPr>
        <w:t>’</w:t>
      </w:r>
      <w:r w:rsidRPr="00A66252">
        <w:rPr>
          <w:lang w:val="fr-FR"/>
        </w:rPr>
        <w:t>il subsiste toujours une possibilité d</w:t>
      </w:r>
      <w:r w:rsidR="00A66252" w:rsidRPr="00A66252">
        <w:rPr>
          <w:lang w:val="fr-FR"/>
        </w:rPr>
        <w:t>’</w:t>
      </w:r>
      <w:r w:rsidRPr="00A66252">
        <w:rPr>
          <w:lang w:val="fr-FR"/>
        </w:rPr>
        <w:t>éloigner effectivement l</w:t>
      </w:r>
      <w:r w:rsidR="00A66252" w:rsidRPr="00A66252">
        <w:rPr>
          <w:lang w:val="fr-FR"/>
        </w:rPr>
        <w:t>’</w:t>
      </w:r>
      <w:r w:rsidRPr="00A66252">
        <w:rPr>
          <w:lang w:val="fr-FR"/>
        </w:rPr>
        <w:t>étranger dans un délai raisonnable.</w:t>
      </w:r>
    </w:p>
    <w:p w:rsidR="00D87497" w:rsidRPr="00A66252" w:rsidRDefault="00D87497" w:rsidP="00A66252">
      <w:pPr>
        <w:pStyle w:val="ECHRParaQuote"/>
        <w:rPr>
          <w:lang w:val="fr-FR"/>
        </w:rPr>
      </w:pPr>
      <w:r w:rsidRPr="00A66252">
        <w:rPr>
          <w:lang w:val="fr-FR"/>
        </w:rPr>
        <w:t>Après une prolongation, la décision visée à l</w:t>
      </w:r>
      <w:r w:rsidR="00A66252" w:rsidRPr="00A66252">
        <w:rPr>
          <w:lang w:val="fr-FR"/>
        </w:rPr>
        <w:t>’</w:t>
      </w:r>
      <w:r w:rsidRPr="00A66252">
        <w:rPr>
          <w:lang w:val="fr-FR"/>
        </w:rPr>
        <w:t>alinéa précédent ne peut plus être prise que par le Ministre.</w:t>
      </w:r>
    </w:p>
    <w:p w:rsidR="00D87497" w:rsidRPr="00A66252" w:rsidRDefault="00D87497" w:rsidP="00A66252">
      <w:pPr>
        <w:pStyle w:val="ECHRParaQuote"/>
        <w:rPr>
          <w:lang w:val="fr-FR"/>
        </w:rPr>
      </w:pPr>
      <w:r w:rsidRPr="00A66252">
        <w:rPr>
          <w:lang w:val="fr-FR"/>
        </w:rPr>
        <w:t>Après cinq mois de détention, l</w:t>
      </w:r>
      <w:r w:rsidR="00A66252" w:rsidRPr="00A66252">
        <w:rPr>
          <w:lang w:val="fr-FR"/>
        </w:rPr>
        <w:t>’</w:t>
      </w:r>
      <w:r w:rsidRPr="00A66252">
        <w:rPr>
          <w:lang w:val="fr-FR"/>
        </w:rPr>
        <w:t>étranger doit être remis en liberté.</w:t>
      </w:r>
    </w:p>
    <w:p w:rsidR="00D87497" w:rsidRPr="00A66252" w:rsidRDefault="00D87497" w:rsidP="00A66252">
      <w:pPr>
        <w:pStyle w:val="ECHRParaQuote"/>
        <w:rPr>
          <w:lang w:val="fr-FR"/>
        </w:rPr>
      </w:pPr>
      <w:r w:rsidRPr="00A66252">
        <w:rPr>
          <w:lang w:val="fr-FR"/>
        </w:rPr>
        <w:t>Dans le cas où la sauvegarde de l</w:t>
      </w:r>
      <w:r w:rsidR="00A66252" w:rsidRPr="00A66252">
        <w:rPr>
          <w:lang w:val="fr-FR"/>
        </w:rPr>
        <w:t>’</w:t>
      </w:r>
      <w:r w:rsidRPr="00A66252">
        <w:rPr>
          <w:lang w:val="fr-FR"/>
        </w:rPr>
        <w:t>ordre public ou la sécurité nationale l</w:t>
      </w:r>
      <w:r w:rsidR="00A66252" w:rsidRPr="00A66252">
        <w:rPr>
          <w:lang w:val="fr-FR"/>
        </w:rPr>
        <w:t>’</w:t>
      </w:r>
      <w:r w:rsidRPr="00A66252">
        <w:rPr>
          <w:lang w:val="fr-FR"/>
        </w:rPr>
        <w:t>exige, la détention de l</w:t>
      </w:r>
      <w:r w:rsidR="00A66252" w:rsidRPr="00A66252">
        <w:rPr>
          <w:lang w:val="fr-FR"/>
        </w:rPr>
        <w:t>’</w:t>
      </w:r>
      <w:r w:rsidRPr="00A66252">
        <w:rPr>
          <w:lang w:val="fr-FR"/>
        </w:rPr>
        <w:t>étranger peut être prolongée chaque fois d</w:t>
      </w:r>
      <w:r w:rsidR="00A66252" w:rsidRPr="00A66252">
        <w:rPr>
          <w:lang w:val="fr-FR"/>
        </w:rPr>
        <w:t>’</w:t>
      </w:r>
      <w:r w:rsidRPr="00A66252">
        <w:rPr>
          <w:lang w:val="fr-FR"/>
        </w:rPr>
        <w:t>un mois, après l</w:t>
      </w:r>
      <w:r w:rsidR="00A66252" w:rsidRPr="00A66252">
        <w:rPr>
          <w:lang w:val="fr-FR"/>
        </w:rPr>
        <w:t>’</w:t>
      </w:r>
      <w:r w:rsidRPr="00A66252">
        <w:rPr>
          <w:lang w:val="fr-FR"/>
        </w:rPr>
        <w:t>expiration du délai visé à l</w:t>
      </w:r>
      <w:r w:rsidR="00A66252" w:rsidRPr="00A66252">
        <w:rPr>
          <w:lang w:val="fr-FR"/>
        </w:rPr>
        <w:t>’</w:t>
      </w:r>
      <w:r w:rsidRPr="00A66252">
        <w:rPr>
          <w:lang w:val="fr-FR"/>
        </w:rPr>
        <w:t>alinéa précédent, sans toutefois que la durée totale de la détention puisse de ce fait dépasser huit mois.</w:t>
      </w:r>
      <w:r w:rsidR="00611D83" w:rsidRPr="00A66252">
        <w:rPr>
          <w:lang w:val="fr-FR"/>
        </w:rPr>
        <w:t> </w:t>
      </w:r>
      <w:r w:rsidRPr="00A66252">
        <w:rPr>
          <w:lang w:val="fr-FR"/>
        </w:rPr>
        <w:t>»</w:t>
      </w:r>
    </w:p>
    <w:p w:rsidR="00A66252" w:rsidRPr="00A66252" w:rsidRDefault="00D87497" w:rsidP="00A66252">
      <w:pPr>
        <w:pStyle w:val="ECHRParaQuote"/>
        <w:spacing w:before="0" w:after="0"/>
        <w:ind w:left="0" w:firstLine="284"/>
        <w:rPr>
          <w:sz w:val="24"/>
          <w:szCs w:val="24"/>
          <w:lang w:val="fr-FR"/>
        </w:rPr>
      </w:pPr>
      <w:r w:rsidRPr="00A66252">
        <w:rPr>
          <w:sz w:val="24"/>
          <w:lang w:val="fr-FR"/>
        </w:rPr>
        <w:fldChar w:fldCharType="begin"/>
      </w:r>
      <w:r w:rsidRPr="00A66252">
        <w:rPr>
          <w:sz w:val="24"/>
          <w:lang w:val="fr-FR"/>
        </w:rPr>
        <w:instrText xml:space="preserve"> SEQ level0 \*arabic </w:instrText>
      </w:r>
      <w:r w:rsidRPr="00A66252">
        <w:rPr>
          <w:sz w:val="24"/>
          <w:lang w:val="fr-FR"/>
        </w:rPr>
        <w:fldChar w:fldCharType="separate"/>
      </w:r>
      <w:r w:rsidR="00A66252" w:rsidRPr="00A66252">
        <w:rPr>
          <w:noProof/>
          <w:sz w:val="24"/>
          <w:lang w:val="fr-FR"/>
        </w:rPr>
        <w:t>109</w:t>
      </w:r>
      <w:r w:rsidRPr="00A66252">
        <w:rPr>
          <w:sz w:val="24"/>
          <w:lang w:val="fr-FR"/>
        </w:rPr>
        <w:fldChar w:fldCharType="end"/>
      </w:r>
      <w:r w:rsidRPr="00A66252">
        <w:rPr>
          <w:sz w:val="24"/>
          <w:lang w:val="fr-FR"/>
        </w:rPr>
        <w:t>.  </w:t>
      </w:r>
      <w:r w:rsidR="000469CE" w:rsidRPr="00A66252">
        <w:rPr>
          <w:sz w:val="24"/>
          <w:lang w:val="fr-FR"/>
        </w:rPr>
        <w:t>Il ressort de la jurisprudence du Conseil d</w:t>
      </w:r>
      <w:r w:rsidR="00A66252" w:rsidRPr="00A66252">
        <w:rPr>
          <w:sz w:val="24"/>
          <w:lang w:val="fr-FR"/>
        </w:rPr>
        <w:t>’</w:t>
      </w:r>
      <w:r w:rsidR="00800622" w:rsidRPr="00A66252">
        <w:rPr>
          <w:sz w:val="24"/>
          <w:lang w:val="fr-FR"/>
        </w:rPr>
        <w:t>É</w:t>
      </w:r>
      <w:r w:rsidR="000469CE" w:rsidRPr="00A66252">
        <w:rPr>
          <w:sz w:val="24"/>
          <w:lang w:val="fr-FR"/>
        </w:rPr>
        <w:t>tat que l</w:t>
      </w:r>
      <w:r w:rsidR="00A66252" w:rsidRPr="00A66252">
        <w:rPr>
          <w:sz w:val="24"/>
          <w:lang w:val="fr-FR"/>
        </w:rPr>
        <w:t>’</w:t>
      </w:r>
      <w:r w:rsidR="000469CE" w:rsidRPr="00A66252">
        <w:rPr>
          <w:sz w:val="24"/>
          <w:lang w:val="fr-FR"/>
        </w:rPr>
        <w:t>examen de la situation médicale d</w:t>
      </w:r>
      <w:r w:rsidR="00A66252" w:rsidRPr="00A66252">
        <w:rPr>
          <w:sz w:val="24"/>
          <w:lang w:val="fr-FR"/>
        </w:rPr>
        <w:t>’</w:t>
      </w:r>
      <w:r w:rsidR="000469CE" w:rsidRPr="00A66252">
        <w:rPr>
          <w:sz w:val="24"/>
          <w:lang w:val="fr-FR"/>
        </w:rPr>
        <w:t>un étranger faisant l</w:t>
      </w:r>
      <w:r w:rsidR="00A66252" w:rsidRPr="00A66252">
        <w:rPr>
          <w:sz w:val="24"/>
          <w:lang w:val="fr-FR"/>
        </w:rPr>
        <w:t>’</w:t>
      </w:r>
      <w:r w:rsidR="000469CE" w:rsidRPr="00A66252">
        <w:rPr>
          <w:sz w:val="24"/>
          <w:lang w:val="fr-FR"/>
        </w:rPr>
        <w:t>objet d</w:t>
      </w:r>
      <w:r w:rsidR="00A66252" w:rsidRPr="00A66252">
        <w:rPr>
          <w:sz w:val="24"/>
          <w:lang w:val="fr-FR"/>
        </w:rPr>
        <w:t>’</w:t>
      </w:r>
      <w:r w:rsidR="000469CE" w:rsidRPr="00A66252">
        <w:rPr>
          <w:sz w:val="24"/>
          <w:lang w:val="fr-FR"/>
        </w:rPr>
        <w:t>une mesure d</w:t>
      </w:r>
      <w:r w:rsidR="00A66252" w:rsidRPr="00A66252">
        <w:rPr>
          <w:sz w:val="24"/>
          <w:lang w:val="fr-FR"/>
        </w:rPr>
        <w:t>’</w:t>
      </w:r>
      <w:r w:rsidR="000469CE" w:rsidRPr="00A66252">
        <w:rPr>
          <w:sz w:val="24"/>
          <w:lang w:val="fr-FR"/>
        </w:rPr>
        <w:t>éloignement du territoire et dont l</w:t>
      </w:r>
      <w:r w:rsidR="00A66252" w:rsidRPr="00A66252">
        <w:rPr>
          <w:sz w:val="24"/>
          <w:lang w:val="fr-FR"/>
        </w:rPr>
        <w:t>’</w:t>
      </w:r>
      <w:r w:rsidR="000469CE" w:rsidRPr="00A66252">
        <w:rPr>
          <w:sz w:val="24"/>
          <w:lang w:val="fr-FR"/>
        </w:rPr>
        <w:t xml:space="preserve">autorisation de séjour a été rejetée doit, le cas échéant, </w:t>
      </w:r>
      <w:r w:rsidR="000469CE" w:rsidRPr="00A66252">
        <w:rPr>
          <w:sz w:val="24"/>
          <w:lang w:val="fr-FR"/>
        </w:rPr>
        <w:lastRenderedPageBreak/>
        <w:t>se faire au moment de l</w:t>
      </w:r>
      <w:r w:rsidR="00A66252" w:rsidRPr="00A66252">
        <w:rPr>
          <w:sz w:val="24"/>
          <w:lang w:val="fr-FR"/>
        </w:rPr>
        <w:t>’</w:t>
      </w:r>
      <w:r w:rsidR="000469CE" w:rsidRPr="00A66252">
        <w:rPr>
          <w:sz w:val="24"/>
          <w:lang w:val="fr-FR"/>
        </w:rPr>
        <w:t>exécution forcée de ladite mesure et non au moment de sa délivrance (</w:t>
      </w:r>
      <w:r w:rsidR="004918DB" w:rsidRPr="00A66252">
        <w:rPr>
          <w:sz w:val="24"/>
          <w:lang w:val="fr-FR"/>
        </w:rPr>
        <w:t>voir, C.E., n</w:t>
      </w:r>
      <w:r w:rsidR="009472B8" w:rsidRPr="00A66252">
        <w:rPr>
          <w:sz w:val="24"/>
          <w:vertAlign w:val="superscript"/>
          <w:lang w:val="fr-FR"/>
        </w:rPr>
        <w:t>o</w:t>
      </w:r>
      <w:r w:rsidR="004918DB" w:rsidRPr="00A66252">
        <w:rPr>
          <w:sz w:val="24"/>
          <w:lang w:val="fr-FR"/>
        </w:rPr>
        <w:t xml:space="preserve"> 11.427, 9 juillet 2015).</w:t>
      </w:r>
    </w:p>
    <w:p w:rsidR="00FF2102" w:rsidRPr="00A66252" w:rsidRDefault="000469CE"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110</w:t>
      </w:r>
      <w:r w:rsidRPr="00A66252">
        <w:rPr>
          <w:lang w:val="fr-FR"/>
        </w:rPr>
        <w:fldChar w:fldCharType="end"/>
      </w:r>
      <w:r w:rsidRPr="00A66252">
        <w:rPr>
          <w:lang w:val="fr-FR"/>
        </w:rPr>
        <w:t>.  </w:t>
      </w:r>
      <w:r w:rsidR="00FF2102" w:rsidRPr="00A66252">
        <w:rPr>
          <w:lang w:val="fr-FR"/>
        </w:rPr>
        <w:t xml:space="preserve">Les dispositions de la loi sur les étrangers </w:t>
      </w:r>
      <w:r w:rsidR="001B5B28" w:rsidRPr="00A66252">
        <w:rPr>
          <w:lang w:val="fr-FR"/>
        </w:rPr>
        <w:t xml:space="preserve">relatives </w:t>
      </w:r>
      <w:r w:rsidR="00196291" w:rsidRPr="00A66252">
        <w:rPr>
          <w:lang w:val="fr-FR"/>
        </w:rPr>
        <w:t>à l</w:t>
      </w:r>
      <w:r w:rsidR="00A66252" w:rsidRPr="00A66252">
        <w:rPr>
          <w:lang w:val="fr-FR"/>
        </w:rPr>
        <w:t>’</w:t>
      </w:r>
      <w:r w:rsidR="00196291" w:rsidRPr="00A66252">
        <w:rPr>
          <w:lang w:val="fr-FR"/>
        </w:rPr>
        <w:t>éloignement</w:t>
      </w:r>
      <w:r w:rsidR="001B5B28" w:rsidRPr="00A66252">
        <w:rPr>
          <w:lang w:val="fr-FR"/>
        </w:rPr>
        <w:t xml:space="preserve"> d</w:t>
      </w:r>
      <w:r w:rsidR="00A66252" w:rsidRPr="00A66252">
        <w:rPr>
          <w:lang w:val="fr-FR"/>
        </w:rPr>
        <w:t>’</w:t>
      </w:r>
      <w:r w:rsidR="001B5B28" w:rsidRPr="00A66252">
        <w:rPr>
          <w:lang w:val="fr-FR"/>
        </w:rPr>
        <w:t>un étranger en raison de son comportement personnel et à l</w:t>
      </w:r>
      <w:r w:rsidR="00A66252" w:rsidRPr="00A66252">
        <w:rPr>
          <w:lang w:val="fr-FR"/>
        </w:rPr>
        <w:t>’</w:t>
      </w:r>
      <w:r w:rsidR="001B5B28" w:rsidRPr="00A66252">
        <w:rPr>
          <w:lang w:val="fr-FR"/>
        </w:rPr>
        <w:t>interdiction d</w:t>
      </w:r>
      <w:r w:rsidR="00A66252" w:rsidRPr="00A66252">
        <w:rPr>
          <w:lang w:val="fr-FR"/>
        </w:rPr>
        <w:t>’</w:t>
      </w:r>
      <w:r w:rsidR="001B5B28" w:rsidRPr="00A66252">
        <w:rPr>
          <w:lang w:val="fr-FR"/>
        </w:rPr>
        <w:t>entrée sur le territoire</w:t>
      </w:r>
      <w:r w:rsidR="00FF2102" w:rsidRPr="00A66252">
        <w:rPr>
          <w:lang w:val="fr-FR"/>
        </w:rPr>
        <w:t xml:space="preserve"> sont les suivantes :</w:t>
      </w:r>
    </w:p>
    <w:p w:rsidR="00FF2102" w:rsidRPr="00A66252" w:rsidRDefault="00611D83" w:rsidP="00A66252">
      <w:pPr>
        <w:pStyle w:val="ECHRTitleCentre3"/>
        <w:rPr>
          <w:lang w:val="fr-FR"/>
        </w:rPr>
      </w:pPr>
      <w:r w:rsidRPr="00A66252">
        <w:rPr>
          <w:lang w:val="fr-FR"/>
        </w:rPr>
        <w:t>Article </w:t>
      </w:r>
      <w:r w:rsidR="00FF2102" w:rsidRPr="00A66252">
        <w:rPr>
          <w:lang w:val="fr-FR"/>
        </w:rPr>
        <w:t>20</w:t>
      </w:r>
    </w:p>
    <w:p w:rsidR="00FF2102" w:rsidRPr="00A66252" w:rsidRDefault="00FF2102" w:rsidP="00A66252">
      <w:pPr>
        <w:pStyle w:val="ECHRParaQuote"/>
        <w:rPr>
          <w:lang w:val="fr-FR"/>
        </w:rPr>
      </w:pPr>
      <w:r w:rsidRPr="00A66252">
        <w:rPr>
          <w:lang w:val="fr-FR"/>
        </w:rPr>
        <w:t>« Sans préjudice des dispositions plus favorables contenues dans un traité international, et à l</w:t>
      </w:r>
      <w:r w:rsidR="00A66252" w:rsidRPr="00A66252">
        <w:rPr>
          <w:lang w:val="fr-FR"/>
        </w:rPr>
        <w:t>’</w:t>
      </w:r>
      <w:r w:rsidRPr="00A66252">
        <w:rPr>
          <w:lang w:val="fr-FR"/>
        </w:rPr>
        <w:t>article 21 le Ministre peut renvoyer l</w:t>
      </w:r>
      <w:r w:rsidR="00A66252" w:rsidRPr="00A66252">
        <w:rPr>
          <w:lang w:val="fr-FR"/>
        </w:rPr>
        <w:t>’</w:t>
      </w:r>
      <w:r w:rsidRPr="00A66252">
        <w:rPr>
          <w:lang w:val="fr-FR"/>
        </w:rPr>
        <w:t>étranger qui n</w:t>
      </w:r>
      <w:r w:rsidR="00A66252" w:rsidRPr="00A66252">
        <w:rPr>
          <w:lang w:val="fr-FR"/>
        </w:rPr>
        <w:t>’</w:t>
      </w:r>
      <w:r w:rsidRPr="00A66252">
        <w:rPr>
          <w:lang w:val="fr-FR"/>
        </w:rPr>
        <w:t>est pas établi dans le Royaume lorsqu</w:t>
      </w:r>
      <w:r w:rsidR="00A66252" w:rsidRPr="00A66252">
        <w:rPr>
          <w:lang w:val="fr-FR"/>
        </w:rPr>
        <w:t>’</w:t>
      </w:r>
      <w:r w:rsidRPr="00A66252">
        <w:rPr>
          <w:lang w:val="fr-FR"/>
        </w:rPr>
        <w:t>il a porté atteinte à l</w:t>
      </w:r>
      <w:r w:rsidR="00A66252" w:rsidRPr="00A66252">
        <w:rPr>
          <w:lang w:val="fr-FR"/>
        </w:rPr>
        <w:t>’</w:t>
      </w:r>
      <w:r w:rsidRPr="00A66252">
        <w:rPr>
          <w:lang w:val="fr-FR"/>
        </w:rPr>
        <w:t>ordre public ou à la sécurité nationale ou n</w:t>
      </w:r>
      <w:r w:rsidR="00A66252" w:rsidRPr="00A66252">
        <w:rPr>
          <w:lang w:val="fr-FR"/>
        </w:rPr>
        <w:t>’</w:t>
      </w:r>
      <w:r w:rsidRPr="00A66252">
        <w:rPr>
          <w:lang w:val="fr-FR"/>
        </w:rPr>
        <w:t>a pas respecté les conditions mises à son séjour, telles que prévues par la loi. Dans les cas où en vertu d</w:t>
      </w:r>
      <w:r w:rsidR="00A66252" w:rsidRPr="00A66252">
        <w:rPr>
          <w:lang w:val="fr-FR"/>
        </w:rPr>
        <w:t>’</w:t>
      </w:r>
      <w:r w:rsidRPr="00A66252">
        <w:rPr>
          <w:lang w:val="fr-FR"/>
        </w:rPr>
        <w:t>un traité international une telle mesure ne peut être prise qu</w:t>
      </w:r>
      <w:r w:rsidR="00A66252" w:rsidRPr="00A66252">
        <w:rPr>
          <w:lang w:val="fr-FR"/>
        </w:rPr>
        <w:t>’</w:t>
      </w:r>
      <w:r w:rsidRPr="00A66252">
        <w:rPr>
          <w:lang w:val="fr-FR"/>
        </w:rPr>
        <w:t>après que l</w:t>
      </w:r>
      <w:r w:rsidR="00A66252" w:rsidRPr="00A66252">
        <w:rPr>
          <w:lang w:val="fr-FR"/>
        </w:rPr>
        <w:t>’</w:t>
      </w:r>
      <w:r w:rsidRPr="00A66252">
        <w:rPr>
          <w:lang w:val="fr-FR"/>
        </w:rPr>
        <w:t>étranger ait été entendu, le renvoi ne pourra être ordonné qu</w:t>
      </w:r>
      <w:r w:rsidR="00A66252" w:rsidRPr="00A66252">
        <w:rPr>
          <w:lang w:val="fr-FR"/>
        </w:rPr>
        <w:t>’</w:t>
      </w:r>
      <w:r w:rsidRPr="00A66252">
        <w:rPr>
          <w:lang w:val="fr-FR"/>
        </w:rPr>
        <w:t>après l</w:t>
      </w:r>
      <w:r w:rsidR="00A66252" w:rsidRPr="00A66252">
        <w:rPr>
          <w:lang w:val="fr-FR"/>
        </w:rPr>
        <w:t>’</w:t>
      </w:r>
      <w:r w:rsidRPr="00A66252">
        <w:rPr>
          <w:lang w:val="fr-FR"/>
        </w:rPr>
        <w:t>avis de la Commission consultative des étrangers. Le Roi fixe par arrêté délibéré en Conseil des Ministres les autres cas dans lesquels le renvoi ne pourra être ordonné qu</w:t>
      </w:r>
      <w:r w:rsidR="00A66252" w:rsidRPr="00A66252">
        <w:rPr>
          <w:lang w:val="fr-FR"/>
        </w:rPr>
        <w:t>’</w:t>
      </w:r>
      <w:r w:rsidRPr="00A66252">
        <w:rPr>
          <w:lang w:val="fr-FR"/>
        </w:rPr>
        <w:t>après l</w:t>
      </w:r>
      <w:r w:rsidR="00A66252" w:rsidRPr="00A66252">
        <w:rPr>
          <w:lang w:val="fr-FR"/>
        </w:rPr>
        <w:t>’</w:t>
      </w:r>
      <w:r w:rsidRPr="00A66252">
        <w:rPr>
          <w:lang w:val="fr-FR"/>
        </w:rPr>
        <w:t>avis de la Commission consultative des étrangers.</w:t>
      </w:r>
    </w:p>
    <w:p w:rsidR="00FF2102" w:rsidRPr="00A66252" w:rsidRDefault="00FF2102" w:rsidP="00A66252">
      <w:pPr>
        <w:pStyle w:val="ECHRParaQuote"/>
        <w:rPr>
          <w:lang w:val="fr-FR"/>
        </w:rPr>
      </w:pPr>
      <w:r w:rsidRPr="00A66252">
        <w:rPr>
          <w:lang w:val="fr-FR"/>
        </w:rPr>
        <w:t>Sans préjudice de l</w:t>
      </w:r>
      <w:r w:rsidR="00A66252" w:rsidRPr="00A66252">
        <w:rPr>
          <w:lang w:val="fr-FR"/>
        </w:rPr>
        <w:t>’</w:t>
      </w:r>
      <w:r w:rsidRPr="00A66252">
        <w:rPr>
          <w:lang w:val="fr-FR"/>
        </w:rPr>
        <w:t>article 21, §§ 1</w:t>
      </w:r>
      <w:r w:rsidRPr="00A66252">
        <w:rPr>
          <w:vertAlign w:val="superscript"/>
          <w:lang w:val="fr-FR"/>
        </w:rPr>
        <w:t>er</w:t>
      </w:r>
      <w:r w:rsidRPr="00A66252">
        <w:rPr>
          <w:lang w:val="fr-FR"/>
        </w:rPr>
        <w:t xml:space="preserve"> et 2, l</w:t>
      </w:r>
      <w:r w:rsidR="00A66252" w:rsidRPr="00A66252">
        <w:rPr>
          <w:lang w:val="fr-FR"/>
        </w:rPr>
        <w:t>’</w:t>
      </w:r>
      <w:r w:rsidRPr="00A66252">
        <w:rPr>
          <w:lang w:val="fr-FR"/>
        </w:rPr>
        <w:t>étranger établi ou bénéficiant du statut de résident de longue durée dans le Royaume peut lorsqu</w:t>
      </w:r>
      <w:r w:rsidR="00A66252" w:rsidRPr="00A66252">
        <w:rPr>
          <w:lang w:val="fr-FR"/>
        </w:rPr>
        <w:t>’</w:t>
      </w:r>
      <w:r w:rsidRPr="00A66252">
        <w:rPr>
          <w:lang w:val="fr-FR"/>
        </w:rPr>
        <w:t>il a gravement porté atteinte à l</w:t>
      </w:r>
      <w:r w:rsidR="00A66252" w:rsidRPr="00A66252">
        <w:rPr>
          <w:lang w:val="fr-FR"/>
        </w:rPr>
        <w:t>’</w:t>
      </w:r>
      <w:r w:rsidRPr="00A66252">
        <w:rPr>
          <w:lang w:val="fr-FR"/>
        </w:rPr>
        <w:t>ordre public ou à la sécurité nationale, être expulsé par le Roi, après avis de la Commission consultative des étrangers. L</w:t>
      </w:r>
      <w:r w:rsidR="00A66252" w:rsidRPr="00A66252">
        <w:rPr>
          <w:lang w:val="fr-FR"/>
        </w:rPr>
        <w:t>’</w:t>
      </w:r>
      <w:r w:rsidRPr="00A66252">
        <w:rPr>
          <w:lang w:val="fr-FR"/>
        </w:rPr>
        <w:t>arrêté d</w:t>
      </w:r>
      <w:r w:rsidR="00A66252" w:rsidRPr="00A66252">
        <w:rPr>
          <w:lang w:val="fr-FR"/>
        </w:rPr>
        <w:t>’</w:t>
      </w:r>
      <w:r w:rsidRPr="00A66252">
        <w:rPr>
          <w:lang w:val="fr-FR"/>
        </w:rPr>
        <w:t>expulsion doit être délibéré en Conseil des Ministres si la mesure est fondée sur l</w:t>
      </w:r>
      <w:r w:rsidR="00A66252" w:rsidRPr="00A66252">
        <w:rPr>
          <w:lang w:val="fr-FR"/>
        </w:rPr>
        <w:t>’</w:t>
      </w:r>
      <w:r w:rsidRPr="00A66252">
        <w:rPr>
          <w:lang w:val="fr-FR"/>
        </w:rPr>
        <w:t>activité politique de cet étranger.</w:t>
      </w:r>
    </w:p>
    <w:p w:rsidR="00FF2102" w:rsidRPr="00A66252" w:rsidRDefault="00FF2102" w:rsidP="00A66252">
      <w:pPr>
        <w:pStyle w:val="ECHRParaQuote"/>
        <w:rPr>
          <w:lang w:val="fr-FR"/>
        </w:rPr>
      </w:pPr>
      <w:r w:rsidRPr="00A66252">
        <w:rPr>
          <w:lang w:val="fr-FR"/>
        </w:rPr>
        <w:t>Les arrêtés de renvoi et d</w:t>
      </w:r>
      <w:r w:rsidR="00A66252" w:rsidRPr="00A66252">
        <w:rPr>
          <w:lang w:val="fr-FR"/>
        </w:rPr>
        <w:t>’</w:t>
      </w:r>
      <w:r w:rsidRPr="00A66252">
        <w:rPr>
          <w:lang w:val="fr-FR"/>
        </w:rPr>
        <w:t>expulsion doivent être fondés exclusivement sur le comportement personnel de l</w:t>
      </w:r>
      <w:r w:rsidR="00A66252" w:rsidRPr="00A66252">
        <w:rPr>
          <w:lang w:val="fr-FR"/>
        </w:rPr>
        <w:t>’</w:t>
      </w:r>
      <w:r w:rsidRPr="00A66252">
        <w:rPr>
          <w:lang w:val="fr-FR"/>
        </w:rPr>
        <w:t>étranger. Il ne peut lui être fait grief de l</w:t>
      </w:r>
      <w:r w:rsidR="00A66252" w:rsidRPr="00A66252">
        <w:rPr>
          <w:lang w:val="fr-FR"/>
        </w:rPr>
        <w:t>’</w:t>
      </w:r>
      <w:r w:rsidRPr="00A66252">
        <w:rPr>
          <w:lang w:val="fr-FR"/>
        </w:rPr>
        <w:t>usage conforme à la loi qu</w:t>
      </w:r>
      <w:r w:rsidR="00A66252" w:rsidRPr="00A66252">
        <w:rPr>
          <w:lang w:val="fr-FR"/>
        </w:rPr>
        <w:t>’</w:t>
      </w:r>
      <w:r w:rsidRPr="00A66252">
        <w:rPr>
          <w:lang w:val="fr-FR"/>
        </w:rPr>
        <w:t>il a fait de la liberté de manifester ses opinions ou de celle de réunion pacifique ou d</w:t>
      </w:r>
      <w:r w:rsidR="00A66252" w:rsidRPr="00A66252">
        <w:rPr>
          <w:lang w:val="fr-FR"/>
        </w:rPr>
        <w:t>’</w:t>
      </w:r>
      <w:r w:rsidRPr="00A66252">
        <w:rPr>
          <w:lang w:val="fr-FR"/>
        </w:rPr>
        <w:t>association. »</w:t>
      </w:r>
    </w:p>
    <w:p w:rsidR="00FF2102" w:rsidRPr="00A66252" w:rsidRDefault="00FF2102" w:rsidP="00A66252">
      <w:pPr>
        <w:pStyle w:val="ECHRTitleCentre3"/>
        <w:rPr>
          <w:lang w:val="fr-FR"/>
        </w:rPr>
      </w:pPr>
      <w:r w:rsidRPr="00A66252">
        <w:rPr>
          <w:lang w:val="fr-FR"/>
        </w:rPr>
        <w:t>Article</w:t>
      </w:r>
      <w:r w:rsidR="00611D83" w:rsidRPr="00A66252">
        <w:rPr>
          <w:lang w:val="fr-FR"/>
        </w:rPr>
        <w:t> </w:t>
      </w:r>
      <w:r w:rsidRPr="00A66252">
        <w:rPr>
          <w:lang w:val="fr-FR"/>
        </w:rPr>
        <w:t>74/11</w:t>
      </w:r>
    </w:p>
    <w:p w:rsidR="00FF2102" w:rsidRPr="00A66252" w:rsidRDefault="00611D83" w:rsidP="00A66252">
      <w:pPr>
        <w:pStyle w:val="ECHRParaQuote"/>
        <w:rPr>
          <w:lang w:val="fr-FR"/>
        </w:rPr>
      </w:pPr>
      <w:r w:rsidRPr="00A66252">
        <w:rPr>
          <w:lang w:val="fr-FR"/>
        </w:rPr>
        <w:t>« § </w:t>
      </w:r>
      <w:r w:rsidR="00FF2102" w:rsidRPr="00A66252">
        <w:rPr>
          <w:lang w:val="fr-FR"/>
        </w:rPr>
        <w:t>1</w:t>
      </w:r>
      <w:r w:rsidR="00FF2102" w:rsidRPr="00A66252">
        <w:rPr>
          <w:vertAlign w:val="superscript"/>
          <w:lang w:val="fr-FR"/>
        </w:rPr>
        <w:t>er</w:t>
      </w:r>
      <w:r w:rsidR="00761BF3" w:rsidRPr="00A66252">
        <w:rPr>
          <w:lang w:val="fr-FR"/>
        </w:rPr>
        <w:t>.  </w:t>
      </w:r>
      <w:r w:rsidR="00FF2102" w:rsidRPr="00A66252">
        <w:rPr>
          <w:lang w:val="fr-FR"/>
        </w:rPr>
        <w:t>La durée de l</w:t>
      </w:r>
      <w:r w:rsidR="00A66252" w:rsidRPr="00A66252">
        <w:rPr>
          <w:lang w:val="fr-FR"/>
        </w:rPr>
        <w:t>’</w:t>
      </w:r>
      <w:r w:rsidR="00FF2102" w:rsidRPr="00A66252">
        <w:rPr>
          <w:lang w:val="fr-FR"/>
        </w:rPr>
        <w:t>interdiction d</w:t>
      </w:r>
      <w:r w:rsidR="00A66252" w:rsidRPr="00A66252">
        <w:rPr>
          <w:lang w:val="fr-FR"/>
        </w:rPr>
        <w:t>’</w:t>
      </w:r>
      <w:r w:rsidR="00FF2102" w:rsidRPr="00A66252">
        <w:rPr>
          <w:lang w:val="fr-FR"/>
        </w:rPr>
        <w:t>entrée est fixée en tenant compte de toutes les circonstances propres à chaque cas.</w:t>
      </w:r>
    </w:p>
    <w:p w:rsidR="00FF2102" w:rsidRPr="00A66252" w:rsidRDefault="00FF2102" w:rsidP="00A66252">
      <w:pPr>
        <w:pStyle w:val="ECHRParaQuote"/>
        <w:rPr>
          <w:lang w:val="fr-FR"/>
        </w:rPr>
      </w:pPr>
      <w:r w:rsidRPr="00A66252">
        <w:rPr>
          <w:lang w:val="fr-FR"/>
        </w:rPr>
        <w:t>La décision d</w:t>
      </w:r>
      <w:r w:rsidR="00A66252" w:rsidRPr="00A66252">
        <w:rPr>
          <w:lang w:val="fr-FR"/>
        </w:rPr>
        <w:t>’</w:t>
      </w:r>
      <w:r w:rsidRPr="00A66252">
        <w:rPr>
          <w:lang w:val="fr-FR"/>
        </w:rPr>
        <w:t>éloignement est assortie d</w:t>
      </w:r>
      <w:r w:rsidR="00A66252" w:rsidRPr="00A66252">
        <w:rPr>
          <w:lang w:val="fr-FR"/>
        </w:rPr>
        <w:t>’</w:t>
      </w:r>
      <w:r w:rsidRPr="00A66252">
        <w:rPr>
          <w:lang w:val="fr-FR"/>
        </w:rPr>
        <w:t>une interdiction d</w:t>
      </w:r>
      <w:r w:rsidR="00A66252" w:rsidRPr="00A66252">
        <w:rPr>
          <w:lang w:val="fr-FR"/>
        </w:rPr>
        <w:t>’</w:t>
      </w:r>
      <w:r w:rsidRPr="00A66252">
        <w:rPr>
          <w:lang w:val="fr-FR"/>
        </w:rPr>
        <w:t>entrée de maximum trois ans, dan</w:t>
      </w:r>
      <w:r w:rsidR="00C93FE5" w:rsidRPr="00A66252">
        <w:rPr>
          <w:lang w:val="fr-FR"/>
        </w:rPr>
        <w:t>s les cas suivants </w:t>
      </w:r>
      <w:r w:rsidRPr="00A66252">
        <w:rPr>
          <w:lang w:val="fr-FR"/>
        </w:rPr>
        <w:t>:</w:t>
      </w:r>
    </w:p>
    <w:p w:rsidR="00FF2102" w:rsidRPr="00A66252" w:rsidRDefault="00FF2102" w:rsidP="00A66252">
      <w:pPr>
        <w:pStyle w:val="ECHRParaQuote"/>
        <w:rPr>
          <w:lang w:val="fr-FR"/>
        </w:rPr>
      </w:pPr>
      <w:r w:rsidRPr="00A66252">
        <w:rPr>
          <w:lang w:val="fr-FR"/>
        </w:rPr>
        <w:t>1</w:t>
      </w:r>
      <w:r w:rsidRPr="00A66252">
        <w:rPr>
          <w:vertAlign w:val="superscript"/>
          <w:lang w:val="fr-FR"/>
        </w:rPr>
        <w:t>o</w:t>
      </w:r>
      <w:r w:rsidR="00761BF3" w:rsidRPr="00A66252">
        <w:rPr>
          <w:lang w:val="fr-FR"/>
        </w:rPr>
        <w:t>  </w:t>
      </w:r>
      <w:r w:rsidRPr="00A66252">
        <w:rPr>
          <w:lang w:val="fr-FR"/>
        </w:rPr>
        <w:t>lorsqu</w:t>
      </w:r>
      <w:r w:rsidR="00A66252" w:rsidRPr="00A66252">
        <w:rPr>
          <w:lang w:val="fr-FR"/>
        </w:rPr>
        <w:t>’</w:t>
      </w:r>
      <w:r w:rsidRPr="00A66252">
        <w:rPr>
          <w:lang w:val="fr-FR"/>
        </w:rPr>
        <w:t>aucun délai n</w:t>
      </w:r>
      <w:r w:rsidR="00A66252" w:rsidRPr="00A66252">
        <w:rPr>
          <w:lang w:val="fr-FR"/>
        </w:rPr>
        <w:t>’</w:t>
      </w:r>
      <w:r w:rsidRPr="00A66252">
        <w:rPr>
          <w:lang w:val="fr-FR"/>
        </w:rPr>
        <w:t>est accordé pour le départ volontaire ou</w:t>
      </w:r>
      <w:r w:rsidR="00C93FE5" w:rsidRPr="00A66252">
        <w:rPr>
          <w:lang w:val="fr-FR"/>
        </w:rPr>
        <w:t> </w:t>
      </w:r>
      <w:r w:rsidRPr="00A66252">
        <w:rPr>
          <w:lang w:val="fr-FR"/>
        </w:rPr>
        <w:t>;</w:t>
      </w:r>
    </w:p>
    <w:p w:rsidR="00FF2102" w:rsidRPr="00A66252" w:rsidRDefault="00FF2102" w:rsidP="00A66252">
      <w:pPr>
        <w:pStyle w:val="ECHRParaQuote"/>
        <w:rPr>
          <w:lang w:val="fr-FR"/>
        </w:rPr>
      </w:pPr>
      <w:r w:rsidRPr="00A66252">
        <w:rPr>
          <w:lang w:val="fr-FR"/>
        </w:rPr>
        <w:t>2</w:t>
      </w:r>
      <w:r w:rsidRPr="00A66252">
        <w:rPr>
          <w:vertAlign w:val="superscript"/>
          <w:lang w:val="fr-FR"/>
        </w:rPr>
        <w:t>o</w:t>
      </w:r>
      <w:r w:rsidR="00761BF3" w:rsidRPr="00A66252">
        <w:rPr>
          <w:lang w:val="fr-FR"/>
        </w:rPr>
        <w:t>  </w:t>
      </w:r>
      <w:r w:rsidRPr="00A66252">
        <w:rPr>
          <w:lang w:val="fr-FR"/>
        </w:rPr>
        <w:t>lorsqu</w:t>
      </w:r>
      <w:r w:rsidR="00A66252" w:rsidRPr="00A66252">
        <w:rPr>
          <w:lang w:val="fr-FR"/>
        </w:rPr>
        <w:t>’</w:t>
      </w:r>
      <w:r w:rsidRPr="00A66252">
        <w:rPr>
          <w:lang w:val="fr-FR"/>
        </w:rPr>
        <w:t>une décision d</w:t>
      </w:r>
      <w:r w:rsidR="00A66252" w:rsidRPr="00A66252">
        <w:rPr>
          <w:lang w:val="fr-FR"/>
        </w:rPr>
        <w:t>’</w:t>
      </w:r>
      <w:r w:rsidRPr="00A66252">
        <w:rPr>
          <w:lang w:val="fr-FR"/>
        </w:rPr>
        <w:t>éloignement antérieure n</w:t>
      </w:r>
      <w:r w:rsidR="00A66252" w:rsidRPr="00A66252">
        <w:rPr>
          <w:lang w:val="fr-FR"/>
        </w:rPr>
        <w:t>’</w:t>
      </w:r>
      <w:r w:rsidRPr="00A66252">
        <w:rPr>
          <w:lang w:val="fr-FR"/>
        </w:rPr>
        <w:t>a pas été exécutée.</w:t>
      </w:r>
    </w:p>
    <w:p w:rsidR="00FF2102" w:rsidRPr="00A66252" w:rsidRDefault="00FF2102" w:rsidP="00A66252">
      <w:pPr>
        <w:pStyle w:val="ECHRParaQuote"/>
        <w:rPr>
          <w:lang w:val="fr-FR"/>
        </w:rPr>
      </w:pPr>
      <w:r w:rsidRPr="00A66252">
        <w:rPr>
          <w:lang w:val="fr-FR"/>
        </w:rPr>
        <w:t>Le délai maximum de trois ans prévu à l</w:t>
      </w:r>
      <w:r w:rsidR="00A66252" w:rsidRPr="00A66252">
        <w:rPr>
          <w:lang w:val="fr-FR"/>
        </w:rPr>
        <w:t>’</w:t>
      </w:r>
      <w:r w:rsidRPr="00A66252">
        <w:rPr>
          <w:lang w:val="fr-FR"/>
        </w:rPr>
        <w:t>alinéa 2 est porté à un maximum de cinq ans lorsque le ressortissant d</w:t>
      </w:r>
      <w:r w:rsidR="00A66252" w:rsidRPr="00A66252">
        <w:rPr>
          <w:lang w:val="fr-FR"/>
        </w:rPr>
        <w:t>’</w:t>
      </w:r>
      <w:r w:rsidRPr="00A66252">
        <w:rPr>
          <w:lang w:val="fr-FR"/>
        </w:rPr>
        <w:t>un pays tiers a recouru à la fraude ou à d</w:t>
      </w:r>
      <w:r w:rsidR="00A66252" w:rsidRPr="00A66252">
        <w:rPr>
          <w:lang w:val="fr-FR"/>
        </w:rPr>
        <w:t>’</w:t>
      </w:r>
      <w:r w:rsidRPr="00A66252">
        <w:rPr>
          <w:lang w:val="fr-FR"/>
        </w:rPr>
        <w:t>autres moyens illégaux afin d</w:t>
      </w:r>
      <w:r w:rsidR="00A66252" w:rsidRPr="00A66252">
        <w:rPr>
          <w:lang w:val="fr-FR"/>
        </w:rPr>
        <w:t>’</w:t>
      </w:r>
      <w:r w:rsidRPr="00A66252">
        <w:rPr>
          <w:lang w:val="fr-FR"/>
        </w:rPr>
        <w:t>être admis au séjour ou de maintenir son droit de séjour.</w:t>
      </w:r>
    </w:p>
    <w:p w:rsidR="00FF2102" w:rsidRPr="00A66252" w:rsidRDefault="00FF2102" w:rsidP="00A66252">
      <w:pPr>
        <w:pStyle w:val="ECHRParaQuote"/>
        <w:rPr>
          <w:lang w:val="fr-FR"/>
        </w:rPr>
      </w:pPr>
      <w:r w:rsidRPr="00A66252">
        <w:rPr>
          <w:lang w:val="fr-FR"/>
        </w:rPr>
        <w:t>La décision d</w:t>
      </w:r>
      <w:r w:rsidR="00A66252" w:rsidRPr="00A66252">
        <w:rPr>
          <w:lang w:val="fr-FR"/>
        </w:rPr>
        <w:t>’</w:t>
      </w:r>
      <w:r w:rsidRPr="00A66252">
        <w:rPr>
          <w:lang w:val="fr-FR"/>
        </w:rPr>
        <w:t>éloignement peut être assortie d</w:t>
      </w:r>
      <w:r w:rsidR="00A66252" w:rsidRPr="00A66252">
        <w:rPr>
          <w:lang w:val="fr-FR"/>
        </w:rPr>
        <w:t>’</w:t>
      </w:r>
      <w:r w:rsidRPr="00A66252">
        <w:rPr>
          <w:lang w:val="fr-FR"/>
        </w:rPr>
        <w:t>une interdiction d</w:t>
      </w:r>
      <w:r w:rsidR="00A66252" w:rsidRPr="00A66252">
        <w:rPr>
          <w:lang w:val="fr-FR"/>
        </w:rPr>
        <w:t>’</w:t>
      </w:r>
      <w:r w:rsidRPr="00A66252">
        <w:rPr>
          <w:lang w:val="fr-FR"/>
        </w:rPr>
        <w:t>entrée de plus de cinq ans lorsque le ressortissant d</w:t>
      </w:r>
      <w:r w:rsidR="00A66252" w:rsidRPr="00A66252">
        <w:rPr>
          <w:lang w:val="fr-FR"/>
        </w:rPr>
        <w:t>’</w:t>
      </w:r>
      <w:r w:rsidRPr="00A66252">
        <w:rPr>
          <w:lang w:val="fr-FR"/>
        </w:rPr>
        <w:t>un pays tiers constitue une menace grave pour l</w:t>
      </w:r>
      <w:r w:rsidR="00A66252" w:rsidRPr="00A66252">
        <w:rPr>
          <w:lang w:val="fr-FR"/>
        </w:rPr>
        <w:t>’</w:t>
      </w:r>
      <w:r w:rsidRPr="00A66252">
        <w:rPr>
          <w:lang w:val="fr-FR"/>
        </w:rPr>
        <w:t>ordre public ou la sécurité nationale.</w:t>
      </w:r>
    </w:p>
    <w:p w:rsidR="00FF2102" w:rsidRPr="00A66252" w:rsidRDefault="00761BF3" w:rsidP="00A66252">
      <w:pPr>
        <w:pStyle w:val="ECHRParaQuote"/>
        <w:rPr>
          <w:lang w:val="fr-FR"/>
        </w:rPr>
      </w:pPr>
      <w:r w:rsidRPr="00A66252">
        <w:rPr>
          <w:lang w:val="fr-FR"/>
        </w:rPr>
        <w:t>§ 2.  </w:t>
      </w:r>
      <w:r w:rsidR="00FF2102" w:rsidRPr="00A66252">
        <w:rPr>
          <w:lang w:val="fr-FR"/>
        </w:rPr>
        <w:t>Le ministre ou son délégué s</w:t>
      </w:r>
      <w:r w:rsidR="00A66252" w:rsidRPr="00A66252">
        <w:rPr>
          <w:lang w:val="fr-FR"/>
        </w:rPr>
        <w:t>’</w:t>
      </w:r>
      <w:r w:rsidR="00FF2102" w:rsidRPr="00A66252">
        <w:rPr>
          <w:lang w:val="fr-FR"/>
        </w:rPr>
        <w:t>abstient de délivrer une interdiction d</w:t>
      </w:r>
      <w:r w:rsidR="00A66252" w:rsidRPr="00A66252">
        <w:rPr>
          <w:lang w:val="fr-FR"/>
        </w:rPr>
        <w:t>’</w:t>
      </w:r>
      <w:r w:rsidR="00FF2102" w:rsidRPr="00A66252">
        <w:rPr>
          <w:lang w:val="fr-FR"/>
        </w:rPr>
        <w:t>entrée lorsqu</w:t>
      </w:r>
      <w:r w:rsidR="00A66252" w:rsidRPr="00A66252">
        <w:rPr>
          <w:lang w:val="fr-FR"/>
        </w:rPr>
        <w:t>’</w:t>
      </w:r>
      <w:r w:rsidR="00FF2102" w:rsidRPr="00A66252">
        <w:rPr>
          <w:lang w:val="fr-FR"/>
        </w:rPr>
        <w:t>il met fin au séjour du ressortissant d</w:t>
      </w:r>
      <w:r w:rsidR="00A66252" w:rsidRPr="00A66252">
        <w:rPr>
          <w:lang w:val="fr-FR"/>
        </w:rPr>
        <w:t>’</w:t>
      </w:r>
      <w:r w:rsidR="00FF2102" w:rsidRPr="00A66252">
        <w:rPr>
          <w:lang w:val="fr-FR"/>
        </w:rPr>
        <w:t>un pays tiers conformément à l</w:t>
      </w:r>
      <w:r w:rsidR="00A66252" w:rsidRPr="00A66252">
        <w:rPr>
          <w:lang w:val="fr-FR"/>
        </w:rPr>
        <w:t>’</w:t>
      </w:r>
      <w:r w:rsidR="00611D83" w:rsidRPr="00A66252">
        <w:rPr>
          <w:lang w:val="fr-FR"/>
        </w:rPr>
        <w:t>article </w:t>
      </w:r>
      <w:r w:rsidR="00FF2102" w:rsidRPr="00A66252">
        <w:rPr>
          <w:lang w:val="fr-FR"/>
        </w:rPr>
        <w:t>61/3, § 3, ou 61/4, § 2, sans préjudice du § 1er, alinéa 2, 2</w:t>
      </w:r>
      <w:r w:rsidR="00FF2102" w:rsidRPr="00A66252">
        <w:rPr>
          <w:vertAlign w:val="superscript"/>
          <w:lang w:val="fr-FR"/>
        </w:rPr>
        <w:t>o</w:t>
      </w:r>
      <w:r w:rsidR="00FF2102" w:rsidRPr="00A66252">
        <w:rPr>
          <w:lang w:val="fr-FR"/>
        </w:rPr>
        <w:t>, à condition qu</w:t>
      </w:r>
      <w:r w:rsidR="00A66252" w:rsidRPr="00A66252">
        <w:rPr>
          <w:lang w:val="fr-FR"/>
        </w:rPr>
        <w:t>’</w:t>
      </w:r>
      <w:r w:rsidR="00FF2102" w:rsidRPr="00A66252">
        <w:rPr>
          <w:lang w:val="fr-FR"/>
        </w:rPr>
        <w:t>il ne représente pas un danger pour l</w:t>
      </w:r>
      <w:r w:rsidR="00A66252" w:rsidRPr="00A66252">
        <w:rPr>
          <w:lang w:val="fr-FR"/>
        </w:rPr>
        <w:t>’</w:t>
      </w:r>
      <w:r w:rsidR="00FF2102" w:rsidRPr="00A66252">
        <w:rPr>
          <w:lang w:val="fr-FR"/>
        </w:rPr>
        <w:t>ordre public ou la sécurité nationale.</w:t>
      </w:r>
    </w:p>
    <w:p w:rsidR="00FF2102" w:rsidRPr="00A66252" w:rsidRDefault="00FF2102" w:rsidP="00A66252">
      <w:pPr>
        <w:pStyle w:val="ECHRParaQuote"/>
        <w:rPr>
          <w:lang w:val="fr-FR"/>
        </w:rPr>
      </w:pPr>
      <w:r w:rsidRPr="00A66252">
        <w:rPr>
          <w:lang w:val="fr-FR"/>
        </w:rPr>
        <w:t>Le ministre ou son délégué peut s</w:t>
      </w:r>
      <w:r w:rsidR="00A66252" w:rsidRPr="00A66252">
        <w:rPr>
          <w:lang w:val="fr-FR"/>
        </w:rPr>
        <w:t>’</w:t>
      </w:r>
      <w:r w:rsidRPr="00A66252">
        <w:rPr>
          <w:lang w:val="fr-FR"/>
        </w:rPr>
        <w:t>abstenir d</w:t>
      </w:r>
      <w:r w:rsidR="00A66252" w:rsidRPr="00A66252">
        <w:rPr>
          <w:lang w:val="fr-FR"/>
        </w:rPr>
        <w:t>’</w:t>
      </w:r>
      <w:r w:rsidRPr="00A66252">
        <w:rPr>
          <w:lang w:val="fr-FR"/>
        </w:rPr>
        <w:t>imposer une interdiction d</w:t>
      </w:r>
      <w:r w:rsidR="00A66252" w:rsidRPr="00A66252">
        <w:rPr>
          <w:lang w:val="fr-FR"/>
        </w:rPr>
        <w:t>’</w:t>
      </w:r>
      <w:r w:rsidRPr="00A66252">
        <w:rPr>
          <w:lang w:val="fr-FR"/>
        </w:rPr>
        <w:t>entrée, dans des cas particuliers, pour des raisons humanitaires.</w:t>
      </w:r>
    </w:p>
    <w:p w:rsidR="00FF2102" w:rsidRPr="00A66252" w:rsidRDefault="00761BF3" w:rsidP="00A66252">
      <w:pPr>
        <w:pStyle w:val="ECHRParaQuote"/>
        <w:rPr>
          <w:lang w:val="fr-FR"/>
        </w:rPr>
      </w:pPr>
      <w:r w:rsidRPr="00A66252">
        <w:rPr>
          <w:lang w:val="fr-FR"/>
        </w:rPr>
        <w:lastRenderedPageBreak/>
        <w:t>§ 3.  </w:t>
      </w:r>
      <w:r w:rsidR="00FF2102" w:rsidRPr="00A66252">
        <w:rPr>
          <w:lang w:val="fr-FR"/>
        </w:rPr>
        <w:t>L</w:t>
      </w:r>
      <w:r w:rsidR="00A66252" w:rsidRPr="00A66252">
        <w:rPr>
          <w:lang w:val="fr-FR"/>
        </w:rPr>
        <w:t>’</w:t>
      </w:r>
      <w:r w:rsidR="00FF2102" w:rsidRPr="00A66252">
        <w:rPr>
          <w:lang w:val="fr-FR"/>
        </w:rPr>
        <w:t>interdiction d</w:t>
      </w:r>
      <w:r w:rsidR="00A66252" w:rsidRPr="00A66252">
        <w:rPr>
          <w:lang w:val="fr-FR"/>
        </w:rPr>
        <w:t>’</w:t>
      </w:r>
      <w:r w:rsidR="00FF2102" w:rsidRPr="00A66252">
        <w:rPr>
          <w:lang w:val="fr-FR"/>
        </w:rPr>
        <w:t>entrée entre en vigueur le jour de la notification de l</w:t>
      </w:r>
      <w:r w:rsidR="00A66252" w:rsidRPr="00A66252">
        <w:rPr>
          <w:lang w:val="fr-FR"/>
        </w:rPr>
        <w:t>’</w:t>
      </w:r>
      <w:r w:rsidR="00FF2102" w:rsidRPr="00A66252">
        <w:rPr>
          <w:lang w:val="fr-FR"/>
        </w:rPr>
        <w:t>interdiction d</w:t>
      </w:r>
      <w:r w:rsidR="00A66252" w:rsidRPr="00A66252">
        <w:rPr>
          <w:lang w:val="fr-FR"/>
        </w:rPr>
        <w:t>’</w:t>
      </w:r>
      <w:r w:rsidR="00FF2102" w:rsidRPr="00A66252">
        <w:rPr>
          <w:lang w:val="fr-FR"/>
        </w:rPr>
        <w:t>entrée. L</w:t>
      </w:r>
      <w:r w:rsidR="00A66252" w:rsidRPr="00A66252">
        <w:rPr>
          <w:lang w:val="fr-FR"/>
        </w:rPr>
        <w:t>’</w:t>
      </w:r>
      <w:r w:rsidR="00FF2102" w:rsidRPr="00A66252">
        <w:rPr>
          <w:lang w:val="fr-FR"/>
        </w:rPr>
        <w:t>interdiction d</w:t>
      </w:r>
      <w:r w:rsidR="00A66252" w:rsidRPr="00A66252">
        <w:rPr>
          <w:lang w:val="fr-FR"/>
        </w:rPr>
        <w:t>’</w:t>
      </w:r>
      <w:r w:rsidR="00FF2102" w:rsidRPr="00A66252">
        <w:rPr>
          <w:lang w:val="fr-FR"/>
        </w:rPr>
        <w:t>entrée ne peut contrevenir au droit à la protection internationale, telle qu</w:t>
      </w:r>
      <w:r w:rsidR="00A66252" w:rsidRPr="00A66252">
        <w:rPr>
          <w:lang w:val="fr-FR"/>
        </w:rPr>
        <w:t>’</w:t>
      </w:r>
      <w:r w:rsidR="00FF2102" w:rsidRPr="00A66252">
        <w:rPr>
          <w:lang w:val="fr-FR"/>
        </w:rPr>
        <w:t>elle est définie aux articles 9</w:t>
      </w:r>
      <w:r w:rsidR="00FF2102" w:rsidRPr="00A66252">
        <w:rPr>
          <w:i/>
          <w:lang w:val="fr-FR"/>
        </w:rPr>
        <w:t>ter</w:t>
      </w:r>
      <w:r w:rsidR="00FF2102" w:rsidRPr="00A66252">
        <w:rPr>
          <w:lang w:val="fr-FR"/>
        </w:rPr>
        <w:t>, 48/3 et 48/4. »</w:t>
      </w:r>
    </w:p>
    <w:p w:rsidR="00E64FA9" w:rsidRPr="00A66252" w:rsidRDefault="00FF2102" w:rsidP="00A66252">
      <w:pPr>
        <w:pStyle w:val="ECHRHeading2"/>
        <w:rPr>
          <w:snapToGrid w:val="0"/>
          <w:lang w:val="fr-FR"/>
        </w:rPr>
      </w:pPr>
      <w:r w:rsidRPr="00A66252">
        <w:rPr>
          <w:snapToGrid w:val="0"/>
          <w:lang w:val="fr-FR"/>
        </w:rPr>
        <w:t>C</w:t>
      </w:r>
      <w:r w:rsidR="00E64FA9" w:rsidRPr="00A66252">
        <w:rPr>
          <w:snapToGrid w:val="0"/>
          <w:lang w:val="fr-FR"/>
        </w:rPr>
        <w:t>. </w:t>
      </w:r>
      <w:r w:rsidR="00C93FE5" w:rsidRPr="00A66252">
        <w:rPr>
          <w:snapToGrid w:val="0"/>
          <w:lang w:val="fr-FR"/>
        </w:rPr>
        <w:t> </w:t>
      </w:r>
      <w:r w:rsidRPr="00A66252">
        <w:rPr>
          <w:snapToGrid w:val="0"/>
          <w:lang w:val="fr-FR"/>
        </w:rPr>
        <w:t>Les r</w:t>
      </w:r>
      <w:r w:rsidR="00E64FA9" w:rsidRPr="00A66252">
        <w:rPr>
          <w:snapToGrid w:val="0"/>
          <w:lang w:val="fr-FR"/>
        </w:rPr>
        <w:t>ecours</w:t>
      </w:r>
      <w:r w:rsidR="0045569B" w:rsidRPr="00A66252">
        <w:rPr>
          <w:snapToGrid w:val="0"/>
          <w:lang w:val="fr-FR"/>
        </w:rPr>
        <w:t xml:space="preserve"> contre les décisions de l</w:t>
      </w:r>
      <w:r w:rsidR="00A66252" w:rsidRPr="00A66252">
        <w:rPr>
          <w:snapToGrid w:val="0"/>
          <w:lang w:val="fr-FR"/>
        </w:rPr>
        <w:t>’</w:t>
      </w:r>
      <w:r w:rsidR="0045569B" w:rsidRPr="00A66252">
        <w:rPr>
          <w:snapToGrid w:val="0"/>
          <w:lang w:val="fr-FR"/>
        </w:rPr>
        <w:t>administration</w:t>
      </w:r>
    </w:p>
    <w:p w:rsidR="0045569B" w:rsidRPr="00A66252" w:rsidRDefault="0045569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111</w:t>
      </w:r>
      <w:r w:rsidRPr="00A66252">
        <w:rPr>
          <w:lang w:val="fr-FR"/>
        </w:rPr>
        <w:fldChar w:fldCharType="end"/>
      </w:r>
      <w:r w:rsidR="00761BF3" w:rsidRPr="00A66252">
        <w:rPr>
          <w:lang w:val="fr-FR"/>
        </w:rPr>
        <w:t>.  </w:t>
      </w:r>
      <w:r w:rsidRPr="00A66252">
        <w:rPr>
          <w:lang w:val="fr-FR"/>
        </w:rPr>
        <w:t>Le CCE est une juridiction admini</w:t>
      </w:r>
      <w:r w:rsidR="00761BF3" w:rsidRPr="00A66252">
        <w:rPr>
          <w:lang w:val="fr-FR"/>
        </w:rPr>
        <w:t>strative créée par la loi du 15 </w:t>
      </w:r>
      <w:r w:rsidRPr="00A66252">
        <w:rPr>
          <w:lang w:val="fr-FR"/>
        </w:rPr>
        <w:t>septembre 2006 réformant le Conseil d</w:t>
      </w:r>
      <w:r w:rsidR="00A66252" w:rsidRPr="00A66252">
        <w:rPr>
          <w:lang w:val="fr-FR"/>
        </w:rPr>
        <w:t>’</w:t>
      </w:r>
      <w:r w:rsidRPr="00A66252">
        <w:rPr>
          <w:lang w:val="fr-FR"/>
        </w:rPr>
        <w:t xml:space="preserve">État et créant un Conseil du contentieux des étrangers. Les attributions, la compétence, la composition et le fonctionnement du CCE sont régis par les dispositions </w:t>
      </w:r>
      <w:r w:rsidR="003758D4" w:rsidRPr="00A66252">
        <w:rPr>
          <w:lang w:val="fr-FR"/>
        </w:rPr>
        <w:t>du titre I</w:t>
      </w:r>
      <w:r w:rsidR="007869FE" w:rsidRPr="00A66252">
        <w:rPr>
          <w:i/>
          <w:lang w:val="fr-FR"/>
        </w:rPr>
        <w:t>bis</w:t>
      </w:r>
      <w:r w:rsidR="007869FE" w:rsidRPr="00A66252">
        <w:rPr>
          <w:lang w:val="fr-FR"/>
        </w:rPr>
        <w:t xml:space="preserve"> de </w:t>
      </w:r>
      <w:r w:rsidRPr="00A66252">
        <w:rPr>
          <w:lang w:val="fr-FR"/>
        </w:rPr>
        <w:t xml:space="preserve">la loi sur les étrangers </w:t>
      </w:r>
      <w:r w:rsidR="007869FE" w:rsidRPr="00A66252">
        <w:rPr>
          <w:lang w:val="fr-FR"/>
        </w:rPr>
        <w:t>inséré</w:t>
      </w:r>
      <w:r w:rsidRPr="00A66252">
        <w:rPr>
          <w:lang w:val="fr-FR"/>
        </w:rPr>
        <w:t xml:space="preserve"> par la loi précitée du 15 septembre 2006. La procédure à suivre devant le CCE est </w:t>
      </w:r>
      <w:r w:rsidR="00B32D6C" w:rsidRPr="00A66252">
        <w:rPr>
          <w:lang w:val="fr-FR"/>
        </w:rPr>
        <w:t>fixée par un arrêté royal du 21 </w:t>
      </w:r>
      <w:r w:rsidRPr="00A66252">
        <w:rPr>
          <w:lang w:val="fr-FR"/>
        </w:rPr>
        <w:t>décembre 2006.</w:t>
      </w:r>
    </w:p>
    <w:p w:rsidR="00C661CE" w:rsidRPr="00A66252" w:rsidRDefault="0045569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112</w:t>
      </w:r>
      <w:r w:rsidRPr="00A66252">
        <w:rPr>
          <w:lang w:val="fr-FR"/>
        </w:rPr>
        <w:fldChar w:fldCharType="end"/>
      </w:r>
      <w:r w:rsidRPr="00A66252">
        <w:rPr>
          <w:lang w:val="fr-FR"/>
        </w:rPr>
        <w:t>. </w:t>
      </w:r>
      <w:r w:rsidR="00761BF3" w:rsidRPr="00A66252">
        <w:rPr>
          <w:lang w:val="fr-FR"/>
        </w:rPr>
        <w:t> </w:t>
      </w:r>
      <w:r w:rsidR="00C661CE" w:rsidRPr="00A66252">
        <w:rPr>
          <w:lang w:val="fr-FR"/>
        </w:rPr>
        <w:t xml:space="preserve">Les compétences du CCE sont de deux ordres. </w:t>
      </w:r>
      <w:r w:rsidR="00472AB3" w:rsidRPr="00A66252">
        <w:rPr>
          <w:lang w:val="fr-FR"/>
        </w:rPr>
        <w:t>D</w:t>
      </w:r>
      <w:r w:rsidR="00A66252" w:rsidRPr="00A66252">
        <w:rPr>
          <w:lang w:val="fr-FR"/>
        </w:rPr>
        <w:t>’</w:t>
      </w:r>
      <w:r w:rsidR="00472AB3" w:rsidRPr="00A66252">
        <w:rPr>
          <w:lang w:val="fr-FR"/>
        </w:rPr>
        <w:t>une part, f</w:t>
      </w:r>
      <w:r w:rsidR="00C661CE" w:rsidRPr="00A66252">
        <w:rPr>
          <w:lang w:val="fr-FR"/>
        </w:rPr>
        <w:t>ace aux décisions prises par le Commissa</w:t>
      </w:r>
      <w:r w:rsidR="00472AB3" w:rsidRPr="00A66252">
        <w:rPr>
          <w:lang w:val="fr-FR"/>
        </w:rPr>
        <w:t>i</w:t>
      </w:r>
      <w:r w:rsidR="00C661CE" w:rsidRPr="00A66252">
        <w:rPr>
          <w:lang w:val="fr-FR"/>
        </w:rPr>
        <w:t>r</w:t>
      </w:r>
      <w:r w:rsidR="00472AB3" w:rsidRPr="00A66252">
        <w:rPr>
          <w:lang w:val="fr-FR"/>
        </w:rPr>
        <w:t>e</w:t>
      </w:r>
      <w:r w:rsidR="00C661CE" w:rsidRPr="00A66252">
        <w:rPr>
          <w:lang w:val="fr-FR"/>
        </w:rPr>
        <w:t xml:space="preserve"> Général aux Réfugiés et Apatride (« CGRA ») en vue d</w:t>
      </w:r>
      <w:r w:rsidR="00A66252" w:rsidRPr="00A66252">
        <w:rPr>
          <w:lang w:val="fr-FR"/>
        </w:rPr>
        <w:t>’</w:t>
      </w:r>
      <w:r w:rsidR="00C661CE" w:rsidRPr="00A66252">
        <w:rPr>
          <w:lang w:val="fr-FR"/>
        </w:rPr>
        <w:t>octroyer ou non le statut de réfugié et les différentes protections subsidiaires, le CCE fait office de juge de plein contentieux, sa saisine est automatiquement suspensive, il peut recevoir des éléments nouveaux et l</w:t>
      </w:r>
      <w:r w:rsidR="00A66252" w:rsidRPr="00A66252">
        <w:rPr>
          <w:lang w:val="fr-FR"/>
        </w:rPr>
        <w:t>’</w:t>
      </w:r>
      <w:r w:rsidR="00C661CE" w:rsidRPr="00A66252">
        <w:rPr>
          <w:lang w:val="fr-FR"/>
        </w:rPr>
        <w:t xml:space="preserve">appel est dévolutif. Le juge peut ici confirmer, annuler ou réformer. </w:t>
      </w:r>
      <w:r w:rsidR="00472AB3" w:rsidRPr="00A66252">
        <w:rPr>
          <w:lang w:val="fr-FR"/>
        </w:rPr>
        <w:t>D</w:t>
      </w:r>
      <w:r w:rsidR="00A66252" w:rsidRPr="00A66252">
        <w:rPr>
          <w:lang w:val="fr-FR"/>
        </w:rPr>
        <w:t>’</w:t>
      </w:r>
      <w:r w:rsidR="00472AB3" w:rsidRPr="00A66252">
        <w:rPr>
          <w:lang w:val="fr-FR"/>
        </w:rPr>
        <w:t>autre part, l</w:t>
      </w:r>
      <w:r w:rsidR="00C661CE" w:rsidRPr="00A66252">
        <w:rPr>
          <w:lang w:val="fr-FR"/>
        </w:rPr>
        <w:t>es décisions de l</w:t>
      </w:r>
      <w:r w:rsidR="00A66252" w:rsidRPr="00A66252">
        <w:rPr>
          <w:lang w:val="fr-FR"/>
        </w:rPr>
        <w:t>’</w:t>
      </w:r>
      <w:r w:rsidR="00C661CE" w:rsidRPr="00A66252">
        <w:rPr>
          <w:lang w:val="fr-FR"/>
        </w:rPr>
        <w:t>OE en matière de séjour et d</w:t>
      </w:r>
      <w:r w:rsidR="00A66252" w:rsidRPr="00A66252">
        <w:rPr>
          <w:lang w:val="fr-FR"/>
        </w:rPr>
        <w:t>’</w:t>
      </w:r>
      <w:r w:rsidR="00C661CE" w:rsidRPr="00A66252">
        <w:rPr>
          <w:lang w:val="fr-FR"/>
        </w:rPr>
        <w:t>éloignement peuvent être contestées par la voie d</w:t>
      </w:r>
      <w:r w:rsidR="00A66252" w:rsidRPr="00A66252">
        <w:rPr>
          <w:lang w:val="fr-FR"/>
        </w:rPr>
        <w:t>’</w:t>
      </w:r>
      <w:r w:rsidR="00C661CE" w:rsidRPr="00A66252">
        <w:rPr>
          <w:lang w:val="fr-FR"/>
        </w:rPr>
        <w:t>un recours en annulation pour violation des formes soit substantielles, soit prescrites à peine de nullité, excès ou détournement de pouvoir</w:t>
      </w:r>
      <w:r w:rsidR="00DE7394" w:rsidRPr="00A66252">
        <w:rPr>
          <w:lang w:val="fr-FR"/>
        </w:rPr>
        <w:t>.</w:t>
      </w:r>
    </w:p>
    <w:p w:rsidR="0045569B" w:rsidRPr="00A66252" w:rsidRDefault="0045569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113</w:t>
      </w:r>
      <w:r w:rsidRPr="00A66252">
        <w:rPr>
          <w:lang w:val="fr-FR"/>
        </w:rPr>
        <w:fldChar w:fldCharType="end"/>
      </w:r>
      <w:r w:rsidRPr="00A66252">
        <w:rPr>
          <w:lang w:val="fr-FR"/>
        </w:rPr>
        <w:t>.  Le recours en annulation n</w:t>
      </w:r>
      <w:r w:rsidR="00A66252" w:rsidRPr="00A66252">
        <w:rPr>
          <w:lang w:val="fr-FR"/>
        </w:rPr>
        <w:t>’</w:t>
      </w:r>
      <w:r w:rsidRPr="00A66252">
        <w:rPr>
          <w:lang w:val="fr-FR"/>
        </w:rPr>
        <w:t>est pas suspensif de plein droit de l</w:t>
      </w:r>
      <w:r w:rsidR="00A66252" w:rsidRPr="00A66252">
        <w:rPr>
          <w:lang w:val="fr-FR"/>
        </w:rPr>
        <w:t>’</w:t>
      </w:r>
      <w:r w:rsidRPr="00A66252">
        <w:rPr>
          <w:lang w:val="fr-FR"/>
        </w:rPr>
        <w:t>exécution de la mesure contestée. La loi prévoit toutefois que le recours en annulation peut être assorti d</w:t>
      </w:r>
      <w:r w:rsidR="00A66252" w:rsidRPr="00A66252">
        <w:rPr>
          <w:lang w:val="fr-FR"/>
        </w:rPr>
        <w:t>’</w:t>
      </w:r>
      <w:r w:rsidRPr="00A66252">
        <w:rPr>
          <w:lang w:val="fr-FR"/>
        </w:rPr>
        <w:t>une demande de suspension de la mesure contestée soit selon la procédure de l</w:t>
      </w:r>
      <w:r w:rsidR="00A66252" w:rsidRPr="00A66252">
        <w:rPr>
          <w:lang w:val="fr-FR"/>
        </w:rPr>
        <w:t>’</w:t>
      </w:r>
      <w:r w:rsidRPr="00A66252">
        <w:rPr>
          <w:lang w:val="fr-FR"/>
        </w:rPr>
        <w:t>extrême urgence, elle-même suspensive de plein droit l</w:t>
      </w:r>
      <w:r w:rsidR="00A66252" w:rsidRPr="00A66252">
        <w:rPr>
          <w:lang w:val="fr-FR"/>
        </w:rPr>
        <w:t>’</w:t>
      </w:r>
      <w:r w:rsidRPr="00A66252">
        <w:rPr>
          <w:lang w:val="fr-FR"/>
        </w:rPr>
        <w:t>exécution de la mesure, soit selon la procédure « ordinaire</w:t>
      </w:r>
      <w:r w:rsidR="00611D83" w:rsidRPr="00A66252">
        <w:rPr>
          <w:lang w:val="fr-FR"/>
        </w:rPr>
        <w:t> </w:t>
      </w:r>
      <w:r w:rsidRPr="00A66252">
        <w:rPr>
          <w:lang w:val="fr-FR"/>
        </w:rPr>
        <w:t>».</w:t>
      </w:r>
    </w:p>
    <w:p w:rsidR="0045569B" w:rsidRPr="00A66252" w:rsidRDefault="0045569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114</w:t>
      </w:r>
      <w:r w:rsidRPr="00A66252">
        <w:rPr>
          <w:lang w:val="fr-FR"/>
        </w:rPr>
        <w:fldChar w:fldCharType="end"/>
      </w:r>
      <w:r w:rsidRPr="00A66252">
        <w:rPr>
          <w:lang w:val="fr-FR"/>
        </w:rPr>
        <w:t>.  À l</w:t>
      </w:r>
      <w:r w:rsidR="00A66252" w:rsidRPr="00A66252">
        <w:rPr>
          <w:lang w:val="fr-FR"/>
        </w:rPr>
        <w:t>’</w:t>
      </w:r>
      <w:r w:rsidRPr="00A66252">
        <w:rPr>
          <w:lang w:val="fr-FR"/>
        </w:rPr>
        <w:t>époque des faits de la présente affaire, les demandes de suspension étaient régies par les dispositions de l</w:t>
      </w:r>
      <w:r w:rsidR="00A66252" w:rsidRPr="00A66252">
        <w:rPr>
          <w:lang w:val="fr-FR"/>
        </w:rPr>
        <w:t>’</w:t>
      </w:r>
      <w:r w:rsidRPr="00A66252">
        <w:rPr>
          <w:lang w:val="fr-FR"/>
        </w:rPr>
        <w:t>article 39/82 de la loi sur les étrangers ainsi rédigées :</w:t>
      </w:r>
    </w:p>
    <w:p w:rsidR="0045569B" w:rsidRPr="00A66252" w:rsidRDefault="00C93FE5" w:rsidP="00A66252">
      <w:pPr>
        <w:pStyle w:val="ECHRParaQuote"/>
        <w:rPr>
          <w:lang w:val="fr-FR"/>
        </w:rPr>
      </w:pPr>
      <w:r w:rsidRPr="00A66252">
        <w:rPr>
          <w:lang w:val="fr-FR"/>
        </w:rPr>
        <w:t>« </w:t>
      </w:r>
      <w:r w:rsidR="00761BF3" w:rsidRPr="00A66252">
        <w:rPr>
          <w:lang w:val="fr-FR"/>
        </w:rPr>
        <w:t>§ </w:t>
      </w:r>
      <w:r w:rsidR="0045569B" w:rsidRPr="00A66252">
        <w:rPr>
          <w:lang w:val="fr-FR"/>
        </w:rPr>
        <w:t>1</w:t>
      </w:r>
      <w:r w:rsidR="0045569B" w:rsidRPr="00A66252">
        <w:rPr>
          <w:vertAlign w:val="superscript"/>
          <w:lang w:val="fr-FR"/>
        </w:rPr>
        <w:t>er</w:t>
      </w:r>
      <w:r w:rsidR="00761BF3" w:rsidRPr="00A66252">
        <w:rPr>
          <w:lang w:val="fr-FR"/>
        </w:rPr>
        <w:t>.  </w:t>
      </w:r>
      <w:r w:rsidR="0045569B" w:rsidRPr="00A66252">
        <w:rPr>
          <w:lang w:val="fr-FR"/>
        </w:rPr>
        <w:t>Lorsqu</w:t>
      </w:r>
      <w:r w:rsidR="00A66252" w:rsidRPr="00A66252">
        <w:rPr>
          <w:lang w:val="fr-FR"/>
        </w:rPr>
        <w:t>’</w:t>
      </w:r>
      <w:r w:rsidR="0045569B" w:rsidRPr="00A66252">
        <w:rPr>
          <w:lang w:val="fr-FR"/>
        </w:rPr>
        <w:t>un acte d</w:t>
      </w:r>
      <w:r w:rsidR="00A66252" w:rsidRPr="00A66252">
        <w:rPr>
          <w:lang w:val="fr-FR"/>
        </w:rPr>
        <w:t>’</w:t>
      </w:r>
      <w:r w:rsidR="0045569B" w:rsidRPr="00A66252">
        <w:rPr>
          <w:lang w:val="fr-FR"/>
        </w:rPr>
        <w:t>une autorité administrative est susceptible d</w:t>
      </w:r>
      <w:r w:rsidR="00A66252" w:rsidRPr="00A66252">
        <w:rPr>
          <w:lang w:val="fr-FR"/>
        </w:rPr>
        <w:t>’</w:t>
      </w:r>
      <w:r w:rsidR="0045569B" w:rsidRPr="00A66252">
        <w:rPr>
          <w:lang w:val="fr-FR"/>
        </w:rPr>
        <w:t>annulation en vertu de l</w:t>
      </w:r>
      <w:r w:rsidR="00A66252" w:rsidRPr="00A66252">
        <w:rPr>
          <w:lang w:val="fr-FR"/>
        </w:rPr>
        <w:t>’</w:t>
      </w:r>
      <w:r w:rsidR="0045569B" w:rsidRPr="00A66252">
        <w:rPr>
          <w:lang w:val="fr-FR"/>
        </w:rPr>
        <w:t>article 39/2, le Conseil est seul compétent pour ordonner la suspension de son exécution.</w:t>
      </w:r>
    </w:p>
    <w:p w:rsidR="0045569B" w:rsidRPr="00A66252" w:rsidRDefault="0045569B" w:rsidP="00A66252">
      <w:pPr>
        <w:pStyle w:val="ECHRParaQuote"/>
        <w:rPr>
          <w:lang w:val="fr-FR"/>
        </w:rPr>
      </w:pPr>
      <w:r w:rsidRPr="00A66252">
        <w:rPr>
          <w:lang w:val="fr-FR"/>
        </w:rPr>
        <w:t>La suspension est ordonnée, les parties entendues ou dûment convoquées, par décision motivée du président de la chambre saisie ou du juge au contentieux des étrangers qu</w:t>
      </w:r>
      <w:r w:rsidR="00A66252" w:rsidRPr="00A66252">
        <w:rPr>
          <w:lang w:val="fr-FR"/>
        </w:rPr>
        <w:t>’</w:t>
      </w:r>
      <w:r w:rsidRPr="00A66252">
        <w:rPr>
          <w:lang w:val="fr-FR"/>
        </w:rPr>
        <w:t>il désigne à cette fin.</w:t>
      </w:r>
    </w:p>
    <w:p w:rsidR="0045569B" w:rsidRPr="00A66252" w:rsidRDefault="0045569B" w:rsidP="00A66252">
      <w:pPr>
        <w:pStyle w:val="ECHRParaQuote"/>
        <w:rPr>
          <w:lang w:val="fr-FR"/>
        </w:rPr>
      </w:pPr>
      <w:r w:rsidRPr="00A66252">
        <w:rPr>
          <w:lang w:val="fr-FR"/>
        </w:rPr>
        <w:t>En cas d</w:t>
      </w:r>
      <w:r w:rsidR="00A66252" w:rsidRPr="00A66252">
        <w:rPr>
          <w:lang w:val="fr-FR"/>
        </w:rPr>
        <w:t>’</w:t>
      </w:r>
      <w:r w:rsidRPr="00A66252">
        <w:rPr>
          <w:lang w:val="fr-FR"/>
        </w:rPr>
        <w:t>extrême urgence, la suspension peut être ordonnée à titre provisoire sans que les parties ou certaines d</w:t>
      </w:r>
      <w:r w:rsidR="00A66252" w:rsidRPr="00A66252">
        <w:rPr>
          <w:lang w:val="fr-FR"/>
        </w:rPr>
        <w:t>’</w:t>
      </w:r>
      <w:r w:rsidRPr="00A66252">
        <w:rPr>
          <w:lang w:val="fr-FR"/>
        </w:rPr>
        <w:t>entre elles aient été entendues.</w:t>
      </w:r>
    </w:p>
    <w:p w:rsidR="0045569B" w:rsidRPr="00A66252" w:rsidRDefault="0045569B" w:rsidP="00A66252">
      <w:pPr>
        <w:pStyle w:val="ECHRParaQuote"/>
        <w:rPr>
          <w:lang w:val="fr-FR"/>
        </w:rPr>
      </w:pPr>
      <w:r w:rsidRPr="00A66252">
        <w:rPr>
          <w:lang w:val="fr-FR"/>
        </w:rPr>
        <w:t>Lorsque le requérant demande la suspension de l</w:t>
      </w:r>
      <w:r w:rsidR="00A66252" w:rsidRPr="00A66252">
        <w:rPr>
          <w:lang w:val="fr-FR"/>
        </w:rPr>
        <w:t>’</w:t>
      </w:r>
      <w:r w:rsidRPr="00A66252">
        <w:rPr>
          <w:lang w:val="fr-FR"/>
        </w:rPr>
        <w:t>exécution, il doit opter soit pour une suspension en extrême urgence, soit pour une suspension ordinaire. Sous peine d</w:t>
      </w:r>
      <w:r w:rsidR="00A66252" w:rsidRPr="00A66252">
        <w:rPr>
          <w:lang w:val="fr-FR"/>
        </w:rPr>
        <w:t>’</w:t>
      </w:r>
      <w:r w:rsidRPr="00A66252">
        <w:rPr>
          <w:lang w:val="fr-FR"/>
        </w:rPr>
        <w:t>irrecevabilité, il ne peut ni simultanément, ni consécutivement, soit faire une nouvelle fois application de l</w:t>
      </w:r>
      <w:r w:rsidR="00A66252" w:rsidRPr="00A66252">
        <w:rPr>
          <w:lang w:val="fr-FR"/>
        </w:rPr>
        <w:t>’</w:t>
      </w:r>
      <w:r w:rsidRPr="00A66252">
        <w:rPr>
          <w:lang w:val="fr-FR"/>
        </w:rPr>
        <w:t>alinéa 3, soit demander une nouvelle fois la suspension dans la requête visée au § 3.</w:t>
      </w:r>
    </w:p>
    <w:p w:rsidR="0045569B" w:rsidRPr="00A66252" w:rsidRDefault="0045569B" w:rsidP="00A66252">
      <w:pPr>
        <w:pStyle w:val="ECHRParaQuote"/>
        <w:rPr>
          <w:lang w:val="fr-FR"/>
        </w:rPr>
      </w:pPr>
      <w:r w:rsidRPr="00A66252">
        <w:rPr>
          <w:lang w:val="fr-FR"/>
        </w:rPr>
        <w:lastRenderedPageBreak/>
        <w:t>Par dérogation à l</w:t>
      </w:r>
      <w:r w:rsidR="00A66252" w:rsidRPr="00A66252">
        <w:rPr>
          <w:lang w:val="fr-FR"/>
        </w:rPr>
        <w:t>’</w:t>
      </w:r>
      <w:r w:rsidRPr="00A66252">
        <w:rPr>
          <w:lang w:val="fr-FR"/>
        </w:rPr>
        <w:t>alinéa 4 et sans préjudice du § 3, le rejet de la demande de suspension selon la procédure d</w:t>
      </w:r>
      <w:r w:rsidR="00A66252" w:rsidRPr="00A66252">
        <w:rPr>
          <w:lang w:val="fr-FR"/>
        </w:rPr>
        <w:t>’</w:t>
      </w:r>
      <w:r w:rsidRPr="00A66252">
        <w:rPr>
          <w:lang w:val="fr-FR"/>
        </w:rPr>
        <w:t>extrême urgence n</w:t>
      </w:r>
      <w:r w:rsidR="00A66252" w:rsidRPr="00A66252">
        <w:rPr>
          <w:lang w:val="fr-FR"/>
        </w:rPr>
        <w:t>’</w:t>
      </w:r>
      <w:r w:rsidRPr="00A66252">
        <w:rPr>
          <w:lang w:val="fr-FR"/>
        </w:rPr>
        <w:t>empêche pas le requérant d</w:t>
      </w:r>
      <w:r w:rsidR="00A66252" w:rsidRPr="00A66252">
        <w:rPr>
          <w:lang w:val="fr-FR"/>
        </w:rPr>
        <w:t>’</w:t>
      </w:r>
      <w:r w:rsidRPr="00A66252">
        <w:rPr>
          <w:lang w:val="fr-FR"/>
        </w:rPr>
        <w:t>introduire ultérieurement une demande de suspension selon la procédure ordinaire, lorsque cette demande de suspension en extrême urgence a été rejetée au motif que l</w:t>
      </w:r>
      <w:r w:rsidR="00A66252" w:rsidRPr="00A66252">
        <w:rPr>
          <w:lang w:val="fr-FR"/>
        </w:rPr>
        <w:t>’</w:t>
      </w:r>
      <w:r w:rsidRPr="00A66252">
        <w:rPr>
          <w:lang w:val="fr-FR"/>
        </w:rPr>
        <w:t>extrême urgence n</w:t>
      </w:r>
      <w:r w:rsidR="00A66252" w:rsidRPr="00A66252">
        <w:rPr>
          <w:lang w:val="fr-FR"/>
        </w:rPr>
        <w:t>’</w:t>
      </w:r>
      <w:r w:rsidRPr="00A66252">
        <w:rPr>
          <w:lang w:val="fr-FR"/>
        </w:rPr>
        <w:t>est pas suffisamment établie.</w:t>
      </w:r>
    </w:p>
    <w:p w:rsidR="0045569B" w:rsidRPr="00A66252" w:rsidRDefault="00761BF3" w:rsidP="00A66252">
      <w:pPr>
        <w:pStyle w:val="ECHRParaQuote"/>
        <w:rPr>
          <w:lang w:val="fr-FR"/>
        </w:rPr>
      </w:pPr>
      <w:r w:rsidRPr="00A66252">
        <w:rPr>
          <w:lang w:val="fr-FR"/>
        </w:rPr>
        <w:t>§ 2.  </w:t>
      </w:r>
      <w:r w:rsidR="0045569B" w:rsidRPr="00A66252">
        <w:rPr>
          <w:lang w:val="fr-FR"/>
        </w:rPr>
        <w:t>La suspension de l</w:t>
      </w:r>
      <w:r w:rsidR="00A66252" w:rsidRPr="00A66252">
        <w:rPr>
          <w:lang w:val="fr-FR"/>
        </w:rPr>
        <w:t>’</w:t>
      </w:r>
      <w:r w:rsidR="0045569B" w:rsidRPr="00A66252">
        <w:rPr>
          <w:lang w:val="fr-FR"/>
        </w:rPr>
        <w:t>exécution ne peut être ordonnée que si des moyens sérieux susceptibles de justifier l</w:t>
      </w:r>
      <w:r w:rsidR="00A66252" w:rsidRPr="00A66252">
        <w:rPr>
          <w:lang w:val="fr-FR"/>
        </w:rPr>
        <w:t>’</w:t>
      </w:r>
      <w:r w:rsidR="0045569B" w:rsidRPr="00A66252">
        <w:rPr>
          <w:lang w:val="fr-FR"/>
        </w:rPr>
        <w:t>annulation de l</w:t>
      </w:r>
      <w:r w:rsidR="00A66252" w:rsidRPr="00A66252">
        <w:rPr>
          <w:lang w:val="fr-FR"/>
        </w:rPr>
        <w:t>’</w:t>
      </w:r>
      <w:r w:rsidR="0045569B" w:rsidRPr="00A66252">
        <w:rPr>
          <w:lang w:val="fr-FR"/>
        </w:rPr>
        <w:t>acte contesté sont invoqués et à la condition que l</w:t>
      </w:r>
      <w:r w:rsidR="00A66252" w:rsidRPr="00A66252">
        <w:rPr>
          <w:lang w:val="fr-FR"/>
        </w:rPr>
        <w:t>’</w:t>
      </w:r>
      <w:r w:rsidR="0045569B" w:rsidRPr="00A66252">
        <w:rPr>
          <w:lang w:val="fr-FR"/>
        </w:rPr>
        <w:t>exécution immédiate de l</w:t>
      </w:r>
      <w:r w:rsidR="00A66252" w:rsidRPr="00A66252">
        <w:rPr>
          <w:lang w:val="fr-FR"/>
        </w:rPr>
        <w:t>’</w:t>
      </w:r>
      <w:r w:rsidR="0045569B" w:rsidRPr="00A66252">
        <w:rPr>
          <w:lang w:val="fr-FR"/>
        </w:rPr>
        <w:t>acte risque de causer un préjudice grave difficilement réparable.</w:t>
      </w:r>
    </w:p>
    <w:p w:rsidR="0045569B" w:rsidRPr="00A66252" w:rsidRDefault="0045569B" w:rsidP="00A66252">
      <w:pPr>
        <w:pStyle w:val="ECHRParaQuote"/>
        <w:rPr>
          <w:lang w:val="fr-FR"/>
        </w:rPr>
      </w:pPr>
      <w:r w:rsidRPr="00A66252">
        <w:rPr>
          <w:lang w:val="fr-FR"/>
        </w:rPr>
        <w:t>Les arrêts par lesquels la suspension a été ordonnée sont susceptibles d</w:t>
      </w:r>
      <w:r w:rsidR="00A66252" w:rsidRPr="00A66252">
        <w:rPr>
          <w:lang w:val="fr-FR"/>
        </w:rPr>
        <w:t>’</w:t>
      </w:r>
      <w:r w:rsidRPr="00A66252">
        <w:rPr>
          <w:lang w:val="fr-FR"/>
        </w:rPr>
        <w:t>être rapportés ou modifiés à la demande des parties.</w:t>
      </w:r>
    </w:p>
    <w:p w:rsidR="0045569B" w:rsidRPr="00A66252" w:rsidRDefault="00761BF3" w:rsidP="00A66252">
      <w:pPr>
        <w:pStyle w:val="ECHRParaQuote"/>
        <w:rPr>
          <w:lang w:val="fr-FR"/>
        </w:rPr>
      </w:pPr>
      <w:r w:rsidRPr="00A66252">
        <w:rPr>
          <w:lang w:val="fr-FR"/>
        </w:rPr>
        <w:t>§ 3.  </w:t>
      </w:r>
      <w:r w:rsidR="0045569B" w:rsidRPr="00A66252">
        <w:rPr>
          <w:lang w:val="fr-FR"/>
        </w:rPr>
        <w:t>Sauf en cas d</w:t>
      </w:r>
      <w:r w:rsidR="00A66252" w:rsidRPr="00A66252">
        <w:rPr>
          <w:lang w:val="fr-FR"/>
        </w:rPr>
        <w:t>’</w:t>
      </w:r>
      <w:r w:rsidR="0045569B" w:rsidRPr="00A66252">
        <w:rPr>
          <w:lang w:val="fr-FR"/>
        </w:rPr>
        <w:t>extrême urgence, la demande de suspension et la requête en annulation doivent être introduits par un seul et même acte.</w:t>
      </w:r>
    </w:p>
    <w:p w:rsidR="0045569B" w:rsidRPr="00A66252" w:rsidRDefault="0045569B" w:rsidP="00A66252">
      <w:pPr>
        <w:pStyle w:val="ECHRParaQuote"/>
        <w:rPr>
          <w:lang w:val="fr-FR"/>
        </w:rPr>
      </w:pPr>
      <w:r w:rsidRPr="00A66252">
        <w:rPr>
          <w:lang w:val="fr-FR"/>
        </w:rPr>
        <w:t>Dans l</w:t>
      </w:r>
      <w:r w:rsidR="00A66252" w:rsidRPr="00A66252">
        <w:rPr>
          <w:lang w:val="fr-FR"/>
        </w:rPr>
        <w:t>’</w:t>
      </w:r>
      <w:r w:rsidRPr="00A66252">
        <w:rPr>
          <w:lang w:val="fr-FR"/>
        </w:rPr>
        <w:t>intitulé de la requête, il y a lieu de mentionner qu</w:t>
      </w:r>
      <w:r w:rsidR="00A66252" w:rsidRPr="00A66252">
        <w:rPr>
          <w:lang w:val="fr-FR"/>
        </w:rPr>
        <w:t>’</w:t>
      </w:r>
      <w:r w:rsidRPr="00A66252">
        <w:rPr>
          <w:lang w:val="fr-FR"/>
        </w:rPr>
        <w:t>est introduit soit un recours en annulation soit une demande de suspension et un recours en annulation. Si cette formalité n</w:t>
      </w:r>
      <w:r w:rsidR="00A66252" w:rsidRPr="00A66252">
        <w:rPr>
          <w:lang w:val="fr-FR"/>
        </w:rPr>
        <w:t>’</w:t>
      </w:r>
      <w:r w:rsidRPr="00A66252">
        <w:rPr>
          <w:lang w:val="fr-FR"/>
        </w:rPr>
        <w:t>est pas remplie, il sera considéré que la requête ne comporte qu</w:t>
      </w:r>
      <w:r w:rsidR="00A66252" w:rsidRPr="00A66252">
        <w:rPr>
          <w:lang w:val="fr-FR"/>
        </w:rPr>
        <w:t>’</w:t>
      </w:r>
      <w:r w:rsidRPr="00A66252">
        <w:rPr>
          <w:lang w:val="fr-FR"/>
        </w:rPr>
        <w:t>un recours en annulation.</w:t>
      </w:r>
    </w:p>
    <w:p w:rsidR="0045569B" w:rsidRPr="00A66252" w:rsidRDefault="0045569B" w:rsidP="00A66252">
      <w:pPr>
        <w:pStyle w:val="ECHRParaQuote"/>
        <w:rPr>
          <w:lang w:val="fr-FR"/>
        </w:rPr>
      </w:pPr>
      <w:r w:rsidRPr="00A66252">
        <w:rPr>
          <w:lang w:val="fr-FR"/>
        </w:rPr>
        <w:t>Une fois que le recours en annulation est introduit, une demande de suspension introduite ultérieurement n</w:t>
      </w:r>
      <w:r w:rsidR="00A66252" w:rsidRPr="00A66252">
        <w:rPr>
          <w:lang w:val="fr-FR"/>
        </w:rPr>
        <w:t>’</w:t>
      </w:r>
      <w:r w:rsidRPr="00A66252">
        <w:rPr>
          <w:lang w:val="fr-FR"/>
        </w:rPr>
        <w:t>est pas recevable, sans préjudice de la possibilité offerte au demandeur d</w:t>
      </w:r>
      <w:r w:rsidR="00A66252" w:rsidRPr="00A66252">
        <w:rPr>
          <w:lang w:val="fr-FR"/>
        </w:rPr>
        <w:t>’</w:t>
      </w:r>
      <w:r w:rsidRPr="00A66252">
        <w:rPr>
          <w:lang w:val="fr-FR"/>
        </w:rPr>
        <w:t>introduire, de la manière visée ci-dessus, un nouveau recours en annulation assorti d</w:t>
      </w:r>
      <w:r w:rsidR="00A66252" w:rsidRPr="00A66252">
        <w:rPr>
          <w:lang w:val="fr-FR"/>
        </w:rPr>
        <w:t>’</w:t>
      </w:r>
      <w:r w:rsidRPr="00A66252">
        <w:rPr>
          <w:lang w:val="fr-FR"/>
        </w:rPr>
        <w:t>une demande de suspension, si le délai de recours n</w:t>
      </w:r>
      <w:r w:rsidR="00A66252" w:rsidRPr="00A66252">
        <w:rPr>
          <w:lang w:val="fr-FR"/>
        </w:rPr>
        <w:t>’</w:t>
      </w:r>
      <w:r w:rsidRPr="00A66252">
        <w:rPr>
          <w:lang w:val="fr-FR"/>
        </w:rPr>
        <w:t>a pas encore expiré.</w:t>
      </w:r>
    </w:p>
    <w:p w:rsidR="0045569B" w:rsidRPr="00A66252" w:rsidRDefault="0045569B" w:rsidP="00A66252">
      <w:pPr>
        <w:pStyle w:val="ECHRParaQuote"/>
        <w:rPr>
          <w:lang w:val="fr-FR"/>
        </w:rPr>
      </w:pPr>
      <w:r w:rsidRPr="00A66252">
        <w:rPr>
          <w:lang w:val="fr-FR"/>
        </w:rPr>
        <w:t>La demande comprend un exposé des moyens et des faits qui, selon le requérant, justifient que la suspension ou, le cas échéant, des mesures provisoires soient ordonnées.</w:t>
      </w:r>
    </w:p>
    <w:p w:rsidR="0045569B" w:rsidRPr="00A66252" w:rsidRDefault="0045569B" w:rsidP="00A66252">
      <w:pPr>
        <w:pStyle w:val="ECHRParaQuote"/>
        <w:rPr>
          <w:lang w:val="fr-FR"/>
        </w:rPr>
      </w:pPr>
      <w:r w:rsidRPr="00A66252">
        <w:rPr>
          <w:lang w:val="fr-FR"/>
        </w:rPr>
        <w:t>La suspension et les autres mesures provisoires qui auraient été ordonnées avant l</w:t>
      </w:r>
      <w:r w:rsidR="00A66252" w:rsidRPr="00A66252">
        <w:rPr>
          <w:lang w:val="fr-FR"/>
        </w:rPr>
        <w:t>’</w:t>
      </w:r>
      <w:r w:rsidRPr="00A66252">
        <w:rPr>
          <w:lang w:val="fr-FR"/>
        </w:rPr>
        <w:t>introduction de la requête en annulation de l</w:t>
      </w:r>
      <w:r w:rsidR="00A66252" w:rsidRPr="00A66252">
        <w:rPr>
          <w:lang w:val="fr-FR"/>
        </w:rPr>
        <w:t>’</w:t>
      </w:r>
      <w:r w:rsidRPr="00A66252">
        <w:rPr>
          <w:lang w:val="fr-FR"/>
        </w:rPr>
        <w:t>acte seront immédiatement levées par le président de la chambre ou par le juge au contentieux des étrangers qu</w:t>
      </w:r>
      <w:r w:rsidR="00A66252" w:rsidRPr="00A66252">
        <w:rPr>
          <w:lang w:val="fr-FR"/>
        </w:rPr>
        <w:t>’</w:t>
      </w:r>
      <w:r w:rsidRPr="00A66252">
        <w:rPr>
          <w:lang w:val="fr-FR"/>
        </w:rPr>
        <w:t>il désigne, qui les a prononcées, s</w:t>
      </w:r>
      <w:r w:rsidR="00A66252" w:rsidRPr="00A66252">
        <w:rPr>
          <w:lang w:val="fr-FR"/>
        </w:rPr>
        <w:t>’</w:t>
      </w:r>
      <w:r w:rsidRPr="00A66252">
        <w:rPr>
          <w:lang w:val="fr-FR"/>
        </w:rPr>
        <w:t>il constate qu</w:t>
      </w:r>
      <w:r w:rsidR="00A66252" w:rsidRPr="00A66252">
        <w:rPr>
          <w:lang w:val="fr-FR"/>
        </w:rPr>
        <w:t>’</w:t>
      </w:r>
      <w:r w:rsidRPr="00A66252">
        <w:rPr>
          <w:lang w:val="fr-FR"/>
        </w:rPr>
        <w:t>aucune requête en annulation invoquant les moyens qui les avaient justifiées n</w:t>
      </w:r>
      <w:r w:rsidR="00A66252" w:rsidRPr="00A66252">
        <w:rPr>
          <w:lang w:val="fr-FR"/>
        </w:rPr>
        <w:t>’</w:t>
      </w:r>
      <w:r w:rsidRPr="00A66252">
        <w:rPr>
          <w:lang w:val="fr-FR"/>
        </w:rPr>
        <w:t>a été introduite dans le délai prévu par le règlement de procédure.</w:t>
      </w:r>
    </w:p>
    <w:p w:rsidR="0045569B" w:rsidRPr="00A66252" w:rsidRDefault="00761BF3" w:rsidP="00A66252">
      <w:pPr>
        <w:pStyle w:val="ECHRParaQuote"/>
        <w:rPr>
          <w:lang w:val="fr-FR"/>
        </w:rPr>
      </w:pPr>
      <w:r w:rsidRPr="00A66252">
        <w:rPr>
          <w:lang w:val="fr-FR"/>
        </w:rPr>
        <w:t>§ 4.  </w:t>
      </w:r>
      <w:r w:rsidR="0045569B" w:rsidRPr="00A66252">
        <w:rPr>
          <w:lang w:val="fr-FR"/>
        </w:rPr>
        <w:t>Le président de la chambre ou le juge au contentieux des étrangers qu</w:t>
      </w:r>
      <w:r w:rsidR="00A66252" w:rsidRPr="00A66252">
        <w:rPr>
          <w:lang w:val="fr-FR"/>
        </w:rPr>
        <w:t>’</w:t>
      </w:r>
      <w:r w:rsidR="0045569B" w:rsidRPr="00A66252">
        <w:rPr>
          <w:lang w:val="fr-FR"/>
        </w:rPr>
        <w:t>il désigne statue dans les trente jours sur la demande de suspension. Si la suspension est ordonnée, il est statué sur la requête en annulation dans les quatre mois du prononcé de la décision juridictionnelle.</w:t>
      </w:r>
    </w:p>
    <w:p w:rsidR="0045569B" w:rsidRPr="00A66252" w:rsidRDefault="0045569B" w:rsidP="00A66252">
      <w:pPr>
        <w:pStyle w:val="ECHRParaQuote"/>
        <w:rPr>
          <w:lang w:val="fr-FR"/>
        </w:rPr>
      </w:pPr>
      <w:r w:rsidRPr="00A66252">
        <w:rPr>
          <w:lang w:val="fr-FR"/>
        </w:rPr>
        <w:t>Si l</w:t>
      </w:r>
      <w:r w:rsidR="00A66252" w:rsidRPr="00A66252">
        <w:rPr>
          <w:lang w:val="fr-FR"/>
        </w:rPr>
        <w:t>’</w:t>
      </w:r>
      <w:r w:rsidRPr="00A66252">
        <w:rPr>
          <w:lang w:val="fr-FR"/>
        </w:rPr>
        <w:t>étranger fait l</w:t>
      </w:r>
      <w:r w:rsidR="00A66252" w:rsidRPr="00A66252">
        <w:rPr>
          <w:lang w:val="fr-FR"/>
        </w:rPr>
        <w:t>’</w:t>
      </w:r>
      <w:r w:rsidRPr="00A66252">
        <w:rPr>
          <w:lang w:val="fr-FR"/>
        </w:rPr>
        <w:t>objet d</w:t>
      </w:r>
      <w:r w:rsidR="00A66252" w:rsidRPr="00A66252">
        <w:rPr>
          <w:lang w:val="fr-FR"/>
        </w:rPr>
        <w:t>’</w:t>
      </w:r>
      <w:r w:rsidRPr="00A66252">
        <w:rPr>
          <w:lang w:val="fr-FR"/>
        </w:rPr>
        <w:t>une mesure d</w:t>
      </w:r>
      <w:r w:rsidR="00A66252" w:rsidRPr="00A66252">
        <w:rPr>
          <w:lang w:val="fr-FR"/>
        </w:rPr>
        <w:t>’</w:t>
      </w:r>
      <w:r w:rsidRPr="00A66252">
        <w:rPr>
          <w:lang w:val="fr-FR"/>
        </w:rPr>
        <w:t>éloignement ou de refoulement dont l</w:t>
      </w:r>
      <w:r w:rsidR="00A66252" w:rsidRPr="00A66252">
        <w:rPr>
          <w:lang w:val="fr-FR"/>
        </w:rPr>
        <w:t>’</w:t>
      </w:r>
      <w:r w:rsidRPr="00A66252">
        <w:rPr>
          <w:lang w:val="fr-FR"/>
        </w:rPr>
        <w:t>exécution est imminente, et n</w:t>
      </w:r>
      <w:r w:rsidR="00A66252" w:rsidRPr="00A66252">
        <w:rPr>
          <w:lang w:val="fr-FR"/>
        </w:rPr>
        <w:t>’</w:t>
      </w:r>
      <w:r w:rsidRPr="00A66252">
        <w:rPr>
          <w:lang w:val="fr-FR"/>
        </w:rPr>
        <w:t>a pas encore introduit une demande de suspension, il peut demander la suspension de cette décision en extrême urgence. Si l</w:t>
      </w:r>
      <w:r w:rsidR="00A66252" w:rsidRPr="00A66252">
        <w:rPr>
          <w:lang w:val="fr-FR"/>
        </w:rPr>
        <w:t>’</w:t>
      </w:r>
      <w:r w:rsidRPr="00A66252">
        <w:rPr>
          <w:lang w:val="fr-FR"/>
        </w:rPr>
        <w:t>étranger a introduit un recours en extrême urgence en application de la présente disposition dans les cinq jours, sans que ce délai puisse être inférieur à trois jours ouvrables suivant la notification de la décision, ce recours est examiné dans les quarante-huit heures suivant la réception par le Conseil de la demande en suspension de l</w:t>
      </w:r>
      <w:r w:rsidR="00A66252" w:rsidRPr="00A66252">
        <w:rPr>
          <w:lang w:val="fr-FR"/>
        </w:rPr>
        <w:t>’</w:t>
      </w:r>
      <w:r w:rsidRPr="00A66252">
        <w:rPr>
          <w:lang w:val="fr-FR"/>
        </w:rPr>
        <w:t>exécution en extrême urgence. Si le président de la chambre ou le juge au contentieux des étrangers saisi ne se prononce pas dans ce délai, il doit en avertir le premier président ou le président. Celui-ci prend les mesures nécessaires pour qu</w:t>
      </w:r>
      <w:r w:rsidR="00A66252" w:rsidRPr="00A66252">
        <w:rPr>
          <w:lang w:val="fr-FR"/>
        </w:rPr>
        <w:t>’</w:t>
      </w:r>
      <w:r w:rsidRPr="00A66252">
        <w:rPr>
          <w:lang w:val="fr-FR"/>
        </w:rPr>
        <w:t>une décision soit rendue au plus tard septante-deux heures suivant la réception de la requête. Il peut notamment évoquer l</w:t>
      </w:r>
      <w:r w:rsidR="00A66252" w:rsidRPr="00A66252">
        <w:rPr>
          <w:lang w:val="fr-FR"/>
        </w:rPr>
        <w:t>’</w:t>
      </w:r>
      <w:r w:rsidRPr="00A66252">
        <w:rPr>
          <w:lang w:val="fr-FR"/>
        </w:rPr>
        <w:t>affaire et statuer lui-même. Si la suspension n</w:t>
      </w:r>
      <w:r w:rsidR="00A66252" w:rsidRPr="00A66252">
        <w:rPr>
          <w:lang w:val="fr-FR"/>
        </w:rPr>
        <w:t>’</w:t>
      </w:r>
      <w:r w:rsidRPr="00A66252">
        <w:rPr>
          <w:lang w:val="fr-FR"/>
        </w:rPr>
        <w:t>a pas été accordée, l</w:t>
      </w:r>
      <w:r w:rsidR="00A66252" w:rsidRPr="00A66252">
        <w:rPr>
          <w:lang w:val="fr-FR"/>
        </w:rPr>
        <w:t>’</w:t>
      </w:r>
      <w:r w:rsidRPr="00A66252">
        <w:rPr>
          <w:lang w:val="fr-FR"/>
        </w:rPr>
        <w:t>exécution forcée de la mesure est à nouveau possible.</w:t>
      </w:r>
    </w:p>
    <w:p w:rsidR="0045569B" w:rsidRPr="00A66252" w:rsidRDefault="00C93FE5" w:rsidP="00A66252">
      <w:pPr>
        <w:pStyle w:val="ECHRParaQuote"/>
        <w:rPr>
          <w:lang w:val="fr-FR"/>
        </w:rPr>
      </w:pPr>
      <w:r w:rsidRPr="00A66252">
        <w:rPr>
          <w:lang w:val="fr-FR"/>
        </w:rPr>
        <w:lastRenderedPageBreak/>
        <w:t>(...) </w:t>
      </w:r>
      <w:r w:rsidR="0045569B" w:rsidRPr="00A66252">
        <w:rPr>
          <w:lang w:val="fr-FR"/>
        </w:rPr>
        <w:t>»</w:t>
      </w:r>
    </w:p>
    <w:p w:rsidR="0045569B" w:rsidRPr="00A66252" w:rsidRDefault="0045569B"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115</w:t>
      </w:r>
      <w:r w:rsidRPr="00A66252">
        <w:rPr>
          <w:lang w:val="fr-FR" w:eastAsia="fr-FR"/>
        </w:rPr>
        <w:fldChar w:fldCharType="end"/>
      </w:r>
      <w:r w:rsidRPr="00A66252">
        <w:rPr>
          <w:lang w:val="fr-FR" w:eastAsia="fr-FR"/>
        </w:rPr>
        <w:t>.  Si l</w:t>
      </w:r>
      <w:r w:rsidR="00A66252" w:rsidRPr="00A66252">
        <w:rPr>
          <w:lang w:val="fr-FR" w:eastAsia="fr-FR"/>
        </w:rPr>
        <w:t>’</w:t>
      </w:r>
      <w:r w:rsidRPr="00A66252">
        <w:rPr>
          <w:lang w:val="fr-FR" w:eastAsia="fr-FR"/>
        </w:rPr>
        <w:t>intéressé optait pour la procédure en suspension «</w:t>
      </w:r>
      <w:r w:rsidR="00611D83" w:rsidRPr="00A66252">
        <w:rPr>
          <w:lang w:val="fr-FR" w:eastAsia="fr-FR"/>
        </w:rPr>
        <w:t> </w:t>
      </w:r>
      <w:r w:rsidRPr="00A66252">
        <w:rPr>
          <w:lang w:val="fr-FR" w:eastAsia="fr-FR"/>
        </w:rPr>
        <w:t>ordinaire</w:t>
      </w:r>
      <w:r w:rsidR="00611D83" w:rsidRPr="00A66252">
        <w:rPr>
          <w:lang w:val="fr-FR" w:eastAsia="fr-FR"/>
        </w:rPr>
        <w:t> </w:t>
      </w:r>
      <w:r w:rsidRPr="00A66252">
        <w:rPr>
          <w:lang w:val="fr-FR" w:eastAsia="fr-FR"/>
        </w:rPr>
        <w:t>», il pouvait en cours d</w:t>
      </w:r>
      <w:r w:rsidR="00A66252" w:rsidRPr="00A66252">
        <w:rPr>
          <w:lang w:val="fr-FR" w:eastAsia="fr-FR"/>
        </w:rPr>
        <w:t>’</w:t>
      </w:r>
      <w:r w:rsidRPr="00A66252">
        <w:rPr>
          <w:lang w:val="fr-FR" w:eastAsia="fr-FR"/>
        </w:rPr>
        <w:t>instance demander des mesures provisoires, éventuellement au bénéfice de l</w:t>
      </w:r>
      <w:r w:rsidR="00A66252" w:rsidRPr="00A66252">
        <w:rPr>
          <w:lang w:val="fr-FR" w:eastAsia="fr-FR"/>
        </w:rPr>
        <w:t>’</w:t>
      </w:r>
      <w:r w:rsidRPr="00A66252">
        <w:rPr>
          <w:lang w:val="fr-FR" w:eastAsia="fr-FR"/>
        </w:rPr>
        <w:t>extrême ur</w:t>
      </w:r>
      <w:r w:rsidR="00761BF3" w:rsidRPr="00A66252">
        <w:rPr>
          <w:lang w:val="fr-FR" w:eastAsia="fr-FR"/>
        </w:rPr>
        <w:t>gence, conformément à l</w:t>
      </w:r>
      <w:r w:rsidR="00A66252" w:rsidRPr="00A66252">
        <w:rPr>
          <w:lang w:val="fr-FR" w:eastAsia="fr-FR"/>
        </w:rPr>
        <w:t>’</w:t>
      </w:r>
      <w:r w:rsidR="00761BF3" w:rsidRPr="00A66252">
        <w:rPr>
          <w:lang w:val="fr-FR" w:eastAsia="fr-FR"/>
        </w:rPr>
        <w:t>article </w:t>
      </w:r>
      <w:r w:rsidRPr="00A66252">
        <w:rPr>
          <w:lang w:val="fr-FR" w:eastAsia="fr-FR"/>
        </w:rPr>
        <w:t>39/84 de la loi.</w:t>
      </w:r>
    </w:p>
    <w:p w:rsidR="003912A3" w:rsidRPr="00A66252" w:rsidRDefault="003912A3"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116</w:t>
      </w:r>
      <w:r w:rsidRPr="00A66252">
        <w:rPr>
          <w:lang w:val="fr-FR" w:eastAsia="fr-FR"/>
        </w:rPr>
        <w:fldChar w:fldCharType="end"/>
      </w:r>
      <w:r w:rsidRPr="00A66252">
        <w:rPr>
          <w:lang w:val="fr-FR" w:eastAsia="fr-FR"/>
        </w:rPr>
        <w:t>.  </w:t>
      </w:r>
      <w:r w:rsidR="0045569B" w:rsidRPr="00A66252">
        <w:rPr>
          <w:lang w:val="fr-FR" w:eastAsia="fr-FR"/>
        </w:rPr>
        <w:t>Tant la demande de suspension en extrême urgence que la demande de mesures provisoires en extrême urgence nécessitaient, pour qu</w:t>
      </w:r>
      <w:r w:rsidR="00A66252" w:rsidRPr="00A66252">
        <w:rPr>
          <w:lang w:val="fr-FR" w:eastAsia="fr-FR"/>
        </w:rPr>
        <w:t>’</w:t>
      </w:r>
      <w:r w:rsidR="0045569B" w:rsidRPr="00A66252">
        <w:rPr>
          <w:lang w:val="fr-FR" w:eastAsia="fr-FR"/>
        </w:rPr>
        <w:t>elles puissent être accueillies, l</w:t>
      </w:r>
      <w:r w:rsidR="00A66252" w:rsidRPr="00A66252">
        <w:rPr>
          <w:lang w:val="fr-FR" w:eastAsia="fr-FR"/>
        </w:rPr>
        <w:t>’</w:t>
      </w:r>
      <w:r w:rsidR="0045569B" w:rsidRPr="00A66252">
        <w:rPr>
          <w:lang w:val="fr-FR" w:eastAsia="fr-FR"/>
        </w:rPr>
        <w:t>imminence de l</w:t>
      </w:r>
      <w:r w:rsidR="00A66252" w:rsidRPr="00A66252">
        <w:rPr>
          <w:lang w:val="fr-FR" w:eastAsia="fr-FR"/>
        </w:rPr>
        <w:t>’</w:t>
      </w:r>
      <w:r w:rsidR="0045569B" w:rsidRPr="00A66252">
        <w:rPr>
          <w:lang w:val="fr-FR" w:eastAsia="fr-FR"/>
        </w:rPr>
        <w:t>exécution de la mesure d</w:t>
      </w:r>
      <w:r w:rsidR="00A66252" w:rsidRPr="00A66252">
        <w:rPr>
          <w:lang w:val="fr-FR" w:eastAsia="fr-FR"/>
        </w:rPr>
        <w:t>’</w:t>
      </w:r>
      <w:r w:rsidR="0045569B" w:rsidRPr="00A66252">
        <w:rPr>
          <w:lang w:val="fr-FR" w:eastAsia="fr-FR"/>
        </w:rPr>
        <w:t>éloignement (article 39/82, § 4, alinéa 2, et article 39/85, alinéa 1</w:t>
      </w:r>
      <w:r w:rsidR="0045569B" w:rsidRPr="00A66252">
        <w:rPr>
          <w:rFonts w:eastAsia="Times New Roman"/>
          <w:vertAlign w:val="superscript"/>
          <w:lang w:val="fr-FR" w:eastAsia="fr-FR"/>
        </w:rPr>
        <w:t>er</w:t>
      </w:r>
      <w:r w:rsidRPr="00A66252">
        <w:rPr>
          <w:lang w:val="fr-FR" w:eastAsia="fr-FR"/>
        </w:rPr>
        <w:t>, de la loi sur les étrangers). Le CCE considérait que, pour que le péril soit imminent, l</w:t>
      </w:r>
      <w:r w:rsidR="00A66252" w:rsidRPr="00A66252">
        <w:rPr>
          <w:lang w:val="fr-FR" w:eastAsia="fr-FR"/>
        </w:rPr>
        <w:t>’</w:t>
      </w:r>
      <w:r w:rsidRPr="00A66252">
        <w:rPr>
          <w:lang w:val="fr-FR" w:eastAsia="fr-FR"/>
        </w:rPr>
        <w:t>étranger devait faire l</w:t>
      </w:r>
      <w:r w:rsidR="00A66252" w:rsidRPr="00A66252">
        <w:rPr>
          <w:lang w:val="fr-FR" w:eastAsia="fr-FR"/>
        </w:rPr>
        <w:t>’</w:t>
      </w:r>
      <w:r w:rsidRPr="00A66252">
        <w:rPr>
          <w:lang w:val="fr-FR" w:eastAsia="fr-FR"/>
        </w:rPr>
        <w:t>objet d</w:t>
      </w:r>
      <w:r w:rsidR="00A66252" w:rsidRPr="00A66252">
        <w:rPr>
          <w:lang w:val="fr-FR" w:eastAsia="fr-FR"/>
        </w:rPr>
        <w:t>’</w:t>
      </w:r>
      <w:r w:rsidRPr="00A66252">
        <w:rPr>
          <w:lang w:val="fr-FR" w:eastAsia="fr-FR"/>
        </w:rPr>
        <w:t>une mesure de contrainte en vue de l</w:t>
      </w:r>
      <w:r w:rsidR="00A66252" w:rsidRPr="00A66252">
        <w:rPr>
          <w:lang w:val="fr-FR" w:eastAsia="fr-FR"/>
        </w:rPr>
        <w:t>’</w:t>
      </w:r>
      <w:r w:rsidRPr="00A66252">
        <w:rPr>
          <w:lang w:val="fr-FR" w:eastAsia="fr-FR"/>
        </w:rPr>
        <w:t xml:space="preserve">obliger </w:t>
      </w:r>
      <w:r w:rsidR="00C95847" w:rsidRPr="00A66252">
        <w:rPr>
          <w:lang w:val="fr-FR" w:eastAsia="fr-FR"/>
        </w:rPr>
        <w:t>à</w:t>
      </w:r>
      <w:r w:rsidRPr="00A66252">
        <w:rPr>
          <w:lang w:val="fr-FR" w:eastAsia="fr-FR"/>
        </w:rPr>
        <w:t xml:space="preserve"> quitter le territoire c</w:t>
      </w:r>
      <w:r w:rsidR="00A66252" w:rsidRPr="00A66252">
        <w:rPr>
          <w:lang w:val="fr-FR" w:eastAsia="fr-FR"/>
        </w:rPr>
        <w:t>’</w:t>
      </w:r>
      <w:r w:rsidRPr="00A66252">
        <w:rPr>
          <w:lang w:val="fr-FR" w:eastAsia="fr-FR"/>
        </w:rPr>
        <w:t>est-à-dire faire l</w:t>
      </w:r>
      <w:r w:rsidR="00A66252" w:rsidRPr="00A66252">
        <w:rPr>
          <w:lang w:val="fr-FR" w:eastAsia="fr-FR"/>
        </w:rPr>
        <w:t>’</w:t>
      </w:r>
      <w:r w:rsidRPr="00A66252">
        <w:rPr>
          <w:lang w:val="fr-FR" w:eastAsia="fr-FR"/>
        </w:rPr>
        <w:t>objet d</w:t>
      </w:r>
      <w:r w:rsidR="00A66252" w:rsidRPr="00A66252">
        <w:rPr>
          <w:lang w:val="fr-FR" w:eastAsia="fr-FR"/>
        </w:rPr>
        <w:t>’</w:t>
      </w:r>
      <w:r w:rsidRPr="00A66252">
        <w:rPr>
          <w:lang w:val="fr-FR" w:eastAsia="fr-FR"/>
        </w:rPr>
        <w:t>une mesure de détention en centre fermé en vue de son éloignement (voir, parmi beaucoup d</w:t>
      </w:r>
      <w:r w:rsidR="00A66252" w:rsidRPr="00A66252">
        <w:rPr>
          <w:lang w:val="fr-FR" w:eastAsia="fr-FR"/>
        </w:rPr>
        <w:t>’</w:t>
      </w:r>
      <w:r w:rsidRPr="00A66252">
        <w:rPr>
          <w:lang w:val="fr-FR" w:eastAsia="fr-FR"/>
        </w:rPr>
        <w:t xml:space="preserve">autres, les arrêts </w:t>
      </w:r>
      <w:r w:rsidR="00C95847" w:rsidRPr="00A66252">
        <w:rPr>
          <w:lang w:val="fr-FR" w:eastAsia="fr-FR"/>
        </w:rPr>
        <w:t>n</w:t>
      </w:r>
      <w:r w:rsidR="00C95847" w:rsidRPr="00A66252">
        <w:rPr>
          <w:vertAlign w:val="superscript"/>
          <w:lang w:val="fr-FR" w:eastAsia="fr-FR"/>
        </w:rPr>
        <w:t>o</w:t>
      </w:r>
      <w:r w:rsidR="00C95847" w:rsidRPr="00A66252">
        <w:rPr>
          <w:lang w:val="fr-FR" w:eastAsia="fr-FR"/>
        </w:rPr>
        <w:t xml:space="preserve"> 456 </w:t>
      </w:r>
      <w:r w:rsidRPr="00A66252">
        <w:rPr>
          <w:lang w:val="fr-FR" w:eastAsia="fr-FR"/>
        </w:rPr>
        <w:t>d</w:t>
      </w:r>
      <w:r w:rsidR="00C95847" w:rsidRPr="00A66252">
        <w:rPr>
          <w:lang w:val="fr-FR" w:eastAsia="fr-FR"/>
        </w:rPr>
        <w:t>u 27 juin 2007</w:t>
      </w:r>
      <w:r w:rsidRPr="00A66252">
        <w:rPr>
          <w:lang w:val="fr-FR" w:eastAsia="fr-FR"/>
        </w:rPr>
        <w:t xml:space="preserve">, et </w:t>
      </w:r>
      <w:r w:rsidR="00C95847" w:rsidRPr="00A66252">
        <w:rPr>
          <w:lang w:val="fr-FR" w:eastAsia="fr-FR"/>
        </w:rPr>
        <w:t>n</w:t>
      </w:r>
      <w:r w:rsidR="00C95847" w:rsidRPr="00A66252">
        <w:rPr>
          <w:vertAlign w:val="superscript"/>
          <w:lang w:val="fr-FR" w:eastAsia="fr-FR"/>
        </w:rPr>
        <w:t>o</w:t>
      </w:r>
      <w:r w:rsidR="00C95847" w:rsidRPr="00A66252">
        <w:rPr>
          <w:lang w:val="fr-FR" w:eastAsia="fr-FR"/>
        </w:rPr>
        <w:t xml:space="preserve"> 7512 du </w:t>
      </w:r>
      <w:r w:rsidRPr="00A66252">
        <w:rPr>
          <w:lang w:val="fr-FR" w:eastAsia="fr-FR"/>
        </w:rPr>
        <w:t>20 février 2008).</w:t>
      </w:r>
    </w:p>
    <w:p w:rsidR="0045569B" w:rsidRPr="00A66252" w:rsidRDefault="0045569B" w:rsidP="00A66252">
      <w:pPr>
        <w:pStyle w:val="ECHRPara"/>
        <w:rPr>
          <w:i/>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117</w:t>
      </w:r>
      <w:r w:rsidRPr="00A66252">
        <w:fldChar w:fldCharType="end"/>
      </w:r>
      <w:r w:rsidRPr="00A66252">
        <w:rPr>
          <w:lang w:val="fr-FR"/>
        </w:rPr>
        <w:t>. </w:t>
      </w:r>
      <w:r w:rsidR="00741505" w:rsidRPr="00A66252">
        <w:rPr>
          <w:lang w:val="fr-FR"/>
        </w:rPr>
        <w:t>La</w:t>
      </w:r>
      <w:r w:rsidRPr="00A66252">
        <w:rPr>
          <w:lang w:val="fr-FR"/>
        </w:rPr>
        <w:t xml:space="preserve"> loi sur les étrangers </w:t>
      </w:r>
      <w:r w:rsidRPr="00A66252">
        <w:rPr>
          <w:rFonts w:cstheme="minorHAnsi"/>
          <w:lang w:val="fr-FR"/>
        </w:rPr>
        <w:t xml:space="preserve">fut modifiée par la loi du 10 avril 2014 </w:t>
      </w:r>
      <w:r w:rsidRPr="00A66252">
        <w:rPr>
          <w:rFonts w:eastAsiaTheme="minorHAnsi" w:cstheme="minorHAnsi"/>
          <w:bCs/>
          <w:lang w:val="fr-FR"/>
        </w:rPr>
        <w:t>portant des dispositions diverses concernant la procédure devant le CCE et devant le Conseil d</w:t>
      </w:r>
      <w:r w:rsidR="00A66252" w:rsidRPr="00A66252">
        <w:rPr>
          <w:rFonts w:eastAsiaTheme="minorHAnsi" w:cstheme="minorHAnsi"/>
          <w:bCs/>
          <w:lang w:val="fr-FR"/>
        </w:rPr>
        <w:t>’</w:t>
      </w:r>
      <w:r w:rsidRPr="00A66252">
        <w:rPr>
          <w:rFonts w:eastAsiaTheme="minorHAnsi" w:cstheme="minorHAnsi"/>
          <w:bCs/>
          <w:lang w:val="fr-FR"/>
        </w:rPr>
        <w:t>État.</w:t>
      </w:r>
      <w:r w:rsidRPr="00A66252">
        <w:rPr>
          <w:rFonts w:eastAsiaTheme="minorHAnsi" w:cstheme="minorHAnsi"/>
          <w:bCs/>
          <w:lang w:val="fr-FR" w:eastAsia="fr-FR"/>
        </w:rPr>
        <w:t xml:space="preserve"> Cette loi réforme notamment le recours en suspension en extrême urgence afin de tenir compte des enseignements de </w:t>
      </w:r>
      <w:r w:rsidRPr="00A66252">
        <w:rPr>
          <w:lang w:val="fr-FR" w:eastAsia="fr-FR"/>
        </w:rPr>
        <w:t>l</w:t>
      </w:r>
      <w:r w:rsidR="00A66252" w:rsidRPr="00A66252">
        <w:rPr>
          <w:lang w:val="fr-FR" w:eastAsia="fr-FR"/>
        </w:rPr>
        <w:t>’</w:t>
      </w:r>
      <w:r w:rsidRPr="00A66252">
        <w:rPr>
          <w:lang w:val="fr-FR" w:eastAsia="fr-FR"/>
        </w:rPr>
        <w:t xml:space="preserve">arrêt </w:t>
      </w:r>
      <w:r w:rsidR="00741505" w:rsidRPr="00A66252">
        <w:rPr>
          <w:i/>
          <w:lang w:val="fr-FR"/>
        </w:rPr>
        <w:t xml:space="preserve">M.S.S. c. Belgique et Grèce </w:t>
      </w:r>
      <w:r w:rsidR="00741505" w:rsidRPr="00A66252">
        <w:rPr>
          <w:lang w:val="fr-FR"/>
        </w:rPr>
        <w:t>[GC] (n</w:t>
      </w:r>
      <w:r w:rsidR="00741505" w:rsidRPr="00A66252">
        <w:rPr>
          <w:vertAlign w:val="superscript"/>
          <w:lang w:val="fr-FR"/>
        </w:rPr>
        <w:t>o</w:t>
      </w:r>
      <w:r w:rsidR="00741505" w:rsidRPr="00A66252">
        <w:rPr>
          <w:lang w:val="fr-FR"/>
        </w:rPr>
        <w:t xml:space="preserve"> 30696/09, CEDH 2011)</w:t>
      </w:r>
      <w:r w:rsidRPr="00A66252">
        <w:rPr>
          <w:rFonts w:eastAsia="Times New Roman"/>
          <w:lang w:val="fr-FR" w:eastAsia="fr-FR"/>
        </w:rPr>
        <w:t>, de la jurisprudence subséquente du CCE (voir, notamment, les sept arrêts d</w:t>
      </w:r>
      <w:r w:rsidR="00A66252" w:rsidRPr="00A66252">
        <w:rPr>
          <w:rFonts w:eastAsia="Times New Roman"/>
          <w:lang w:val="fr-FR" w:eastAsia="fr-FR"/>
        </w:rPr>
        <w:t>’</w:t>
      </w:r>
      <w:r w:rsidRPr="00A66252">
        <w:rPr>
          <w:rFonts w:eastAsia="Times New Roman"/>
          <w:lang w:val="fr-FR" w:eastAsia="fr-FR"/>
        </w:rPr>
        <w:t>assemblée générale du 17 février 2011, n</w:t>
      </w:r>
      <w:r w:rsidRPr="00A66252">
        <w:rPr>
          <w:rFonts w:eastAsia="Times New Roman"/>
          <w:vertAlign w:val="superscript"/>
          <w:lang w:val="fr-FR" w:eastAsia="fr-FR"/>
        </w:rPr>
        <w:t>os</w:t>
      </w:r>
      <w:r w:rsidR="00611D83" w:rsidRPr="00A66252">
        <w:rPr>
          <w:rFonts w:eastAsia="Times New Roman"/>
          <w:lang w:val="fr-FR" w:eastAsia="fr-FR"/>
        </w:rPr>
        <w:t xml:space="preserve"> 56.201 à 56.205, 56.207 et </w:t>
      </w:r>
      <w:r w:rsidRPr="00A66252">
        <w:rPr>
          <w:rFonts w:eastAsia="Times New Roman"/>
          <w:lang w:val="fr-FR" w:eastAsia="fr-FR"/>
        </w:rPr>
        <w:t>56.208) et de l</w:t>
      </w:r>
      <w:r w:rsidR="00741505" w:rsidRPr="00A66252">
        <w:rPr>
          <w:rFonts w:eastAsia="Times New Roman"/>
          <w:lang w:val="fr-FR" w:eastAsia="fr-FR"/>
        </w:rPr>
        <w:t>a Cour constitutionnelle (</w:t>
      </w:r>
      <w:r w:rsidRPr="00A66252">
        <w:rPr>
          <w:lang w:val="fr-FR" w:eastAsia="fr-FR"/>
        </w:rPr>
        <w:t>arrêt n</w:t>
      </w:r>
      <w:r w:rsidRPr="00A66252">
        <w:rPr>
          <w:rFonts w:eastAsia="Times New Roman"/>
          <w:vertAlign w:val="superscript"/>
          <w:lang w:val="fr-FR" w:eastAsia="fr-FR"/>
        </w:rPr>
        <w:t>o</w:t>
      </w:r>
      <w:r w:rsidRPr="00A66252">
        <w:rPr>
          <w:lang w:val="fr-FR" w:eastAsia="fr-FR"/>
        </w:rPr>
        <w:t xml:space="preserve"> 1/2014 du 16 janvier 2014</w:t>
      </w:r>
      <w:r w:rsidRPr="00A66252">
        <w:rPr>
          <w:rFonts w:eastAsia="Times New Roman"/>
          <w:lang w:val="fr-FR" w:eastAsia="fr-FR"/>
        </w:rPr>
        <w:t xml:space="preserve"> </w:t>
      </w:r>
      <w:r w:rsidR="00741505" w:rsidRPr="00A66252">
        <w:rPr>
          <w:rFonts w:eastAsia="Times New Roman"/>
          <w:lang w:val="fr-FR" w:eastAsia="fr-FR"/>
        </w:rPr>
        <w:t>annulant une partie</w:t>
      </w:r>
      <w:r w:rsidRPr="00A66252">
        <w:rPr>
          <w:lang w:val="fr-FR" w:eastAsia="fr-FR"/>
        </w:rPr>
        <w:t xml:space="preserve"> de la loi du 15 mars 2012 modifiant la loi sur les étrangers qui instaurait une procédure accélérée pour les demandeurs d</w:t>
      </w:r>
      <w:r w:rsidR="00A66252" w:rsidRPr="00A66252">
        <w:rPr>
          <w:lang w:val="fr-FR" w:eastAsia="fr-FR"/>
        </w:rPr>
        <w:t>’</w:t>
      </w:r>
      <w:r w:rsidRPr="00A66252">
        <w:rPr>
          <w:lang w:val="fr-FR" w:eastAsia="fr-FR"/>
        </w:rPr>
        <w:t>asile en pr</w:t>
      </w:r>
      <w:r w:rsidR="00611D83" w:rsidRPr="00A66252">
        <w:rPr>
          <w:lang w:val="fr-FR" w:eastAsia="fr-FR"/>
        </w:rPr>
        <w:t>ovenance de pays tiers « </w:t>
      </w:r>
      <w:r w:rsidR="00741505" w:rsidRPr="00A66252">
        <w:rPr>
          <w:lang w:val="fr-FR" w:eastAsia="fr-FR"/>
        </w:rPr>
        <w:t>sûrs</w:t>
      </w:r>
      <w:r w:rsidR="00611D83" w:rsidRPr="00A66252">
        <w:rPr>
          <w:lang w:val="fr-FR" w:eastAsia="fr-FR"/>
        </w:rPr>
        <w:t> </w:t>
      </w:r>
      <w:r w:rsidR="00741505" w:rsidRPr="00A66252">
        <w:rPr>
          <w:lang w:val="fr-FR" w:eastAsia="fr-FR"/>
        </w:rPr>
        <w:t>»)</w:t>
      </w:r>
      <w:r w:rsidRPr="00A66252">
        <w:rPr>
          <w:rFonts w:eastAsia="Times New Roman"/>
          <w:lang w:val="fr-FR" w:eastAsia="fr-FR"/>
        </w:rPr>
        <w:t>.</w:t>
      </w:r>
    </w:p>
    <w:p w:rsidR="0045569B" w:rsidRPr="00A66252" w:rsidRDefault="003912A3" w:rsidP="00A66252">
      <w:pPr>
        <w:pStyle w:val="ECHRPara"/>
        <w:rPr>
          <w:lang w:val="fr-FR"/>
        </w:rPr>
      </w:pPr>
      <w:r w:rsidRPr="00A66252">
        <w:rPr>
          <w:rFonts w:eastAsiaTheme="minorHAnsi" w:cstheme="minorHAnsi"/>
          <w:bCs/>
          <w:lang w:val="fr-FR"/>
        </w:rPr>
        <w:fldChar w:fldCharType="begin"/>
      </w:r>
      <w:r w:rsidRPr="00A66252">
        <w:rPr>
          <w:rFonts w:eastAsiaTheme="minorHAnsi" w:cstheme="minorHAnsi"/>
          <w:bCs/>
          <w:lang w:val="fr-FR"/>
        </w:rPr>
        <w:instrText xml:space="preserve"> SEQ level0 \*arabic </w:instrText>
      </w:r>
      <w:r w:rsidRPr="00A66252">
        <w:rPr>
          <w:rFonts w:eastAsiaTheme="minorHAnsi" w:cstheme="minorHAnsi"/>
          <w:bCs/>
          <w:lang w:val="fr-FR"/>
        </w:rPr>
        <w:fldChar w:fldCharType="separate"/>
      </w:r>
      <w:r w:rsidR="00A66252" w:rsidRPr="00A66252">
        <w:rPr>
          <w:rFonts w:eastAsiaTheme="minorHAnsi" w:cstheme="minorHAnsi"/>
          <w:bCs/>
          <w:noProof/>
          <w:lang w:val="fr-FR"/>
        </w:rPr>
        <w:t>118</w:t>
      </w:r>
      <w:r w:rsidRPr="00A66252">
        <w:rPr>
          <w:rFonts w:eastAsiaTheme="minorHAnsi" w:cstheme="minorHAnsi"/>
          <w:bCs/>
          <w:lang w:val="fr-FR"/>
        </w:rPr>
        <w:fldChar w:fldCharType="end"/>
      </w:r>
      <w:r w:rsidRPr="00A66252">
        <w:rPr>
          <w:rFonts w:eastAsiaTheme="minorHAnsi" w:cstheme="minorHAnsi"/>
          <w:bCs/>
          <w:lang w:val="fr-FR"/>
        </w:rPr>
        <w:t>.  </w:t>
      </w:r>
      <w:r w:rsidR="0045569B" w:rsidRPr="00A66252">
        <w:rPr>
          <w:rFonts w:eastAsiaTheme="minorHAnsi" w:cstheme="minorHAnsi"/>
          <w:bCs/>
          <w:lang w:val="fr-FR"/>
        </w:rPr>
        <w:t xml:space="preserve">Les dispositions </w:t>
      </w:r>
      <w:r w:rsidR="007869FE" w:rsidRPr="00A66252">
        <w:rPr>
          <w:rFonts w:eastAsiaTheme="minorHAnsi" w:cstheme="minorHAnsi"/>
          <w:bCs/>
          <w:lang w:val="fr-FR"/>
        </w:rPr>
        <w:t>des articles 39/82 et 39/85</w:t>
      </w:r>
      <w:r w:rsidR="0045569B" w:rsidRPr="00A66252">
        <w:rPr>
          <w:rFonts w:eastAsiaTheme="minorHAnsi" w:cstheme="minorHAnsi"/>
          <w:bCs/>
          <w:lang w:val="fr-FR"/>
        </w:rPr>
        <w:t>, nouvellement rédigées, prévoient que le recours en suspension d</w:t>
      </w:r>
      <w:r w:rsidR="00A66252" w:rsidRPr="00A66252">
        <w:rPr>
          <w:rFonts w:eastAsiaTheme="minorHAnsi" w:cstheme="minorHAnsi"/>
          <w:bCs/>
          <w:lang w:val="fr-FR"/>
        </w:rPr>
        <w:t>’</w:t>
      </w:r>
      <w:r w:rsidR="0045569B" w:rsidRPr="00A66252">
        <w:rPr>
          <w:rFonts w:eastAsiaTheme="minorHAnsi" w:cstheme="minorHAnsi"/>
          <w:bCs/>
          <w:lang w:val="fr-FR"/>
        </w:rPr>
        <w:t>extrême urgence devra être introduit dans un délai de dix jours, réduit à cinq si la décision d</w:t>
      </w:r>
      <w:r w:rsidR="00A66252" w:rsidRPr="00A66252">
        <w:rPr>
          <w:rFonts w:eastAsiaTheme="minorHAnsi" w:cstheme="minorHAnsi"/>
          <w:bCs/>
          <w:lang w:val="fr-FR"/>
        </w:rPr>
        <w:t>’</w:t>
      </w:r>
      <w:r w:rsidR="0045569B" w:rsidRPr="00A66252">
        <w:rPr>
          <w:rFonts w:eastAsiaTheme="minorHAnsi" w:cstheme="minorHAnsi"/>
          <w:bCs/>
          <w:lang w:val="fr-FR"/>
        </w:rPr>
        <w:t>éloignement contestée n</w:t>
      </w:r>
      <w:r w:rsidR="00A66252" w:rsidRPr="00A66252">
        <w:rPr>
          <w:rFonts w:eastAsiaTheme="minorHAnsi" w:cstheme="minorHAnsi"/>
          <w:bCs/>
          <w:lang w:val="fr-FR"/>
        </w:rPr>
        <w:t>’</w:t>
      </w:r>
      <w:r w:rsidR="0045569B" w:rsidRPr="00A66252">
        <w:rPr>
          <w:rFonts w:eastAsiaTheme="minorHAnsi" w:cstheme="minorHAnsi"/>
          <w:bCs/>
          <w:lang w:val="fr-FR"/>
        </w:rPr>
        <w:t>est pas la première ayant visé la personne concernée. Les conditions pour qu</w:t>
      </w:r>
      <w:r w:rsidR="00A66252" w:rsidRPr="00A66252">
        <w:rPr>
          <w:rFonts w:eastAsiaTheme="minorHAnsi" w:cstheme="minorHAnsi"/>
          <w:bCs/>
          <w:lang w:val="fr-FR"/>
        </w:rPr>
        <w:t>’</w:t>
      </w:r>
      <w:r w:rsidR="0045569B" w:rsidRPr="00A66252">
        <w:rPr>
          <w:rFonts w:eastAsiaTheme="minorHAnsi" w:cstheme="minorHAnsi"/>
          <w:bCs/>
          <w:lang w:val="fr-FR"/>
        </w:rPr>
        <w:t>il y ait extrême urgence restent identiques. Il faut qu</w:t>
      </w:r>
      <w:r w:rsidR="00A66252" w:rsidRPr="00A66252">
        <w:rPr>
          <w:rFonts w:eastAsiaTheme="minorHAnsi" w:cstheme="minorHAnsi"/>
          <w:bCs/>
          <w:lang w:val="fr-FR"/>
        </w:rPr>
        <w:t>’</w:t>
      </w:r>
      <w:r w:rsidR="0045569B" w:rsidRPr="00A66252">
        <w:rPr>
          <w:rFonts w:eastAsiaTheme="minorHAnsi" w:cstheme="minorHAnsi"/>
          <w:bCs/>
          <w:lang w:val="fr-FR"/>
        </w:rPr>
        <w:t>un éloignement soit imminent, ce qui concerne principalement les personnes détenues. Toutefois, la loi n</w:t>
      </w:r>
      <w:r w:rsidR="00A66252" w:rsidRPr="00A66252">
        <w:rPr>
          <w:rFonts w:eastAsiaTheme="minorHAnsi" w:cstheme="minorHAnsi"/>
          <w:bCs/>
          <w:lang w:val="fr-FR"/>
        </w:rPr>
        <w:t>’</w:t>
      </w:r>
      <w:r w:rsidR="0045569B" w:rsidRPr="00A66252">
        <w:rPr>
          <w:rFonts w:eastAsiaTheme="minorHAnsi" w:cstheme="minorHAnsi"/>
          <w:bCs/>
          <w:lang w:val="fr-FR"/>
        </w:rPr>
        <w:t>exclut pas que d</w:t>
      </w:r>
      <w:r w:rsidR="00A66252" w:rsidRPr="00A66252">
        <w:rPr>
          <w:rFonts w:eastAsiaTheme="minorHAnsi" w:cstheme="minorHAnsi"/>
          <w:bCs/>
          <w:lang w:val="fr-FR"/>
        </w:rPr>
        <w:t>’</w:t>
      </w:r>
      <w:r w:rsidR="0045569B" w:rsidRPr="00A66252">
        <w:rPr>
          <w:rFonts w:eastAsiaTheme="minorHAnsi" w:cstheme="minorHAnsi"/>
          <w:bCs/>
          <w:lang w:val="fr-FR"/>
        </w:rPr>
        <w:t>autres hypothèses puissent justifier un recours à la procédure d</w:t>
      </w:r>
      <w:r w:rsidR="00A66252" w:rsidRPr="00A66252">
        <w:rPr>
          <w:rFonts w:eastAsiaTheme="minorHAnsi" w:cstheme="minorHAnsi"/>
          <w:bCs/>
          <w:lang w:val="fr-FR"/>
        </w:rPr>
        <w:t>’</w:t>
      </w:r>
      <w:r w:rsidR="0045569B" w:rsidRPr="00A66252">
        <w:rPr>
          <w:rFonts w:eastAsiaTheme="minorHAnsi" w:cstheme="minorHAnsi"/>
          <w:bCs/>
          <w:lang w:val="fr-FR"/>
        </w:rPr>
        <w:t xml:space="preserve">extrême urgence. La réforme prévoit également que le risque de préjudice grave et irréparable est présumé si la violation invoquée porte sur un droit </w:t>
      </w:r>
      <w:proofErr w:type="spellStart"/>
      <w:r w:rsidR="0045569B" w:rsidRPr="00A66252">
        <w:rPr>
          <w:rFonts w:eastAsiaTheme="minorHAnsi" w:cstheme="minorHAnsi"/>
          <w:bCs/>
          <w:lang w:val="fr-FR"/>
        </w:rPr>
        <w:t>indérogeable</w:t>
      </w:r>
      <w:proofErr w:type="spellEnd"/>
      <w:r w:rsidR="0045569B" w:rsidRPr="00A66252">
        <w:rPr>
          <w:rFonts w:eastAsiaTheme="minorHAnsi" w:cstheme="minorHAnsi"/>
          <w:bCs/>
          <w:lang w:val="fr-FR"/>
        </w:rPr>
        <w:t xml:space="preserve"> tels les articles 2, 3 ou 4 de la Convention.</w:t>
      </w:r>
    </w:p>
    <w:p w:rsidR="00E64FA9" w:rsidRPr="00A66252" w:rsidRDefault="003912A3" w:rsidP="00A66252">
      <w:pPr>
        <w:pStyle w:val="ECHRPara"/>
        <w:rPr>
          <w:rFonts w:eastAsiaTheme="majorEastAsia"/>
          <w:lang w:val="fr-FR"/>
        </w:rPr>
      </w:pPr>
      <w:r w:rsidRPr="00A66252">
        <w:rPr>
          <w:rFonts w:eastAsiaTheme="majorEastAsia"/>
        </w:rPr>
        <w:fldChar w:fldCharType="begin"/>
      </w:r>
      <w:r w:rsidRPr="00A66252">
        <w:rPr>
          <w:rFonts w:eastAsiaTheme="majorEastAsia"/>
          <w:lang w:val="fr-FR"/>
        </w:rPr>
        <w:instrText xml:space="preserve"> SEQ level0 \*arabic </w:instrText>
      </w:r>
      <w:r w:rsidRPr="00A66252">
        <w:rPr>
          <w:rFonts w:eastAsiaTheme="majorEastAsia"/>
        </w:rPr>
        <w:fldChar w:fldCharType="separate"/>
      </w:r>
      <w:r w:rsidR="00A66252" w:rsidRPr="00A66252">
        <w:rPr>
          <w:rFonts w:eastAsiaTheme="majorEastAsia"/>
          <w:noProof/>
          <w:lang w:val="fr-FR"/>
        </w:rPr>
        <w:t>119</w:t>
      </w:r>
      <w:r w:rsidRPr="00A66252">
        <w:rPr>
          <w:rFonts w:eastAsiaTheme="majorEastAsia"/>
        </w:rPr>
        <w:fldChar w:fldCharType="end"/>
      </w:r>
      <w:r w:rsidRPr="00A66252">
        <w:rPr>
          <w:rFonts w:eastAsiaTheme="majorEastAsia"/>
          <w:lang w:val="fr-FR"/>
        </w:rPr>
        <w:t>.  </w:t>
      </w:r>
      <w:r w:rsidR="00E64FA9" w:rsidRPr="00A66252">
        <w:rPr>
          <w:rFonts w:eastAsiaTheme="majorEastAsia"/>
          <w:lang w:val="fr-FR"/>
        </w:rPr>
        <w:t>Un recours en cassation administrative de l</w:t>
      </w:r>
      <w:r w:rsidR="00A66252" w:rsidRPr="00A66252">
        <w:rPr>
          <w:rFonts w:eastAsiaTheme="majorEastAsia"/>
          <w:lang w:val="fr-FR"/>
        </w:rPr>
        <w:t>’</w:t>
      </w:r>
      <w:r w:rsidR="00E64FA9" w:rsidRPr="00A66252">
        <w:rPr>
          <w:rFonts w:eastAsiaTheme="majorEastAsia"/>
          <w:lang w:val="fr-FR"/>
        </w:rPr>
        <w:t>arrêt du CCE rejetant le recours en annulation est possible devant le Conseil d</w:t>
      </w:r>
      <w:r w:rsidR="00A66252" w:rsidRPr="00A66252">
        <w:rPr>
          <w:rFonts w:eastAsiaTheme="majorEastAsia"/>
          <w:lang w:val="fr-FR"/>
        </w:rPr>
        <w:t>’</w:t>
      </w:r>
      <w:r w:rsidR="00E64FA9" w:rsidRPr="00A66252">
        <w:rPr>
          <w:rFonts w:eastAsiaTheme="majorEastAsia"/>
          <w:lang w:val="fr-FR"/>
        </w:rPr>
        <w:t>État. Ce recours n</w:t>
      </w:r>
      <w:r w:rsidR="00A66252" w:rsidRPr="00A66252">
        <w:rPr>
          <w:rFonts w:eastAsiaTheme="majorEastAsia"/>
          <w:lang w:val="fr-FR"/>
        </w:rPr>
        <w:t>’</w:t>
      </w:r>
      <w:r w:rsidR="00E64FA9" w:rsidRPr="00A66252">
        <w:rPr>
          <w:rFonts w:eastAsiaTheme="majorEastAsia"/>
          <w:lang w:val="fr-FR"/>
        </w:rPr>
        <w:t>est pas suspensif.</w:t>
      </w:r>
    </w:p>
    <w:p w:rsidR="00E77CB3" w:rsidRPr="00A66252" w:rsidRDefault="00C93FE5" w:rsidP="00A66252">
      <w:pPr>
        <w:pStyle w:val="ECHRHeading1"/>
        <w:rPr>
          <w:lang w:val="fr-FR"/>
        </w:rPr>
      </w:pPr>
      <w:r w:rsidRPr="00A66252">
        <w:rPr>
          <w:lang w:val="fr-FR"/>
        </w:rPr>
        <w:t>III.  </w:t>
      </w:r>
      <w:r w:rsidR="00F935B5" w:rsidRPr="00A66252">
        <w:rPr>
          <w:lang w:val="fr-FR"/>
        </w:rPr>
        <w:t>DRO</w:t>
      </w:r>
      <w:r w:rsidR="007770D9" w:rsidRPr="00A66252">
        <w:rPr>
          <w:lang w:val="fr-FR"/>
        </w:rPr>
        <w:t>IT DE L</w:t>
      </w:r>
      <w:r w:rsidR="00A66252" w:rsidRPr="00A66252">
        <w:rPr>
          <w:lang w:val="fr-FR"/>
        </w:rPr>
        <w:t>’</w:t>
      </w:r>
      <w:r w:rsidR="007770D9" w:rsidRPr="00A66252">
        <w:rPr>
          <w:lang w:val="fr-FR"/>
        </w:rPr>
        <w:t>UNION EUROPÉ</w:t>
      </w:r>
      <w:r w:rsidR="00F935B5" w:rsidRPr="00A66252">
        <w:rPr>
          <w:lang w:val="fr-FR"/>
        </w:rPr>
        <w:t>ENNE</w:t>
      </w:r>
    </w:p>
    <w:p w:rsidR="007C1D53" w:rsidRPr="00A66252" w:rsidRDefault="00F935B5" w:rsidP="00A66252">
      <w:pPr>
        <w:pStyle w:val="ECHRPara"/>
        <w:rPr>
          <w:rFonts w:eastAsia="Times New Roman"/>
          <w:lang w:val="fr-FR" w:eastAsia="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120</w:t>
      </w:r>
      <w:r w:rsidRPr="00A66252">
        <w:rPr>
          <w:lang w:val="fr-FR"/>
        </w:rPr>
        <w:fldChar w:fldCharType="end"/>
      </w:r>
      <w:r w:rsidRPr="00A66252">
        <w:rPr>
          <w:lang w:val="fr-FR"/>
        </w:rPr>
        <w:t>.  </w:t>
      </w:r>
      <w:r w:rsidR="007C1D53" w:rsidRPr="00A66252">
        <w:rPr>
          <w:lang w:val="fr-FR"/>
        </w:rPr>
        <w:t>La problématique du seuil de gravité qu</w:t>
      </w:r>
      <w:r w:rsidR="00A66252" w:rsidRPr="00A66252">
        <w:rPr>
          <w:lang w:val="fr-FR"/>
        </w:rPr>
        <w:t>’</w:t>
      </w:r>
      <w:r w:rsidR="007C1D53" w:rsidRPr="00A66252">
        <w:rPr>
          <w:lang w:val="fr-FR"/>
        </w:rPr>
        <w:t>une maladie doit atteindre pour justifier l</w:t>
      </w:r>
      <w:r w:rsidR="00A66252" w:rsidRPr="00A66252">
        <w:rPr>
          <w:lang w:val="fr-FR"/>
        </w:rPr>
        <w:t>’</w:t>
      </w:r>
      <w:r w:rsidR="007C1D53" w:rsidRPr="00A66252">
        <w:rPr>
          <w:lang w:val="fr-FR"/>
        </w:rPr>
        <w:t>octroi d</w:t>
      </w:r>
      <w:r w:rsidR="00A66252" w:rsidRPr="00A66252">
        <w:rPr>
          <w:lang w:val="fr-FR"/>
        </w:rPr>
        <w:t>’</w:t>
      </w:r>
      <w:r w:rsidR="007C1D53" w:rsidRPr="00A66252">
        <w:rPr>
          <w:lang w:val="fr-FR"/>
        </w:rPr>
        <w:t>un titre de séjour pour motifs médicaux s</w:t>
      </w:r>
      <w:r w:rsidR="00A66252" w:rsidRPr="00A66252">
        <w:rPr>
          <w:lang w:val="fr-FR"/>
        </w:rPr>
        <w:t>’</w:t>
      </w:r>
      <w:r w:rsidR="007C1D53" w:rsidRPr="00A66252">
        <w:rPr>
          <w:lang w:val="fr-FR"/>
        </w:rPr>
        <w:t xml:space="preserve">est </w:t>
      </w:r>
      <w:r w:rsidR="007C1D53" w:rsidRPr="00A66252">
        <w:rPr>
          <w:lang w:val="fr-FR"/>
        </w:rPr>
        <w:lastRenderedPageBreak/>
        <w:t>récemment posée à la CJUE. A l</w:t>
      </w:r>
      <w:r w:rsidR="00A66252" w:rsidRPr="00A66252">
        <w:rPr>
          <w:lang w:val="fr-FR"/>
        </w:rPr>
        <w:t>’</w:t>
      </w:r>
      <w:r w:rsidR="007C1D53" w:rsidRPr="00A66252">
        <w:rPr>
          <w:lang w:val="fr-FR"/>
        </w:rPr>
        <w:t xml:space="preserve">occasion de deux affaires – </w:t>
      </w:r>
      <w:r w:rsidR="00800622" w:rsidRPr="00A66252">
        <w:rPr>
          <w:bCs/>
          <w:i/>
          <w:lang w:val="fr-FR"/>
        </w:rPr>
        <w:t>Mohamed M</w:t>
      </w:r>
      <w:r w:rsidR="00A66252" w:rsidRPr="00A66252">
        <w:rPr>
          <w:bCs/>
          <w:i/>
          <w:lang w:val="fr-FR"/>
        </w:rPr>
        <w:t>’</w:t>
      </w:r>
      <w:proofErr w:type="spellStart"/>
      <w:r w:rsidR="00800622" w:rsidRPr="00A66252">
        <w:rPr>
          <w:bCs/>
          <w:i/>
          <w:lang w:val="fr-FR"/>
        </w:rPr>
        <w:t>Bodj</w:t>
      </w:r>
      <w:proofErr w:type="spellEnd"/>
      <w:r w:rsidR="00800622" w:rsidRPr="00A66252">
        <w:rPr>
          <w:bCs/>
          <w:i/>
          <w:lang w:val="fr-FR"/>
        </w:rPr>
        <w:t xml:space="preserve"> contre É</w:t>
      </w:r>
      <w:r w:rsidR="007C1D53" w:rsidRPr="00A66252">
        <w:rPr>
          <w:bCs/>
          <w:i/>
          <w:lang w:val="fr-FR"/>
        </w:rPr>
        <w:t>tat belge</w:t>
      </w:r>
      <w:r w:rsidR="007C1D53" w:rsidRPr="00A66252">
        <w:rPr>
          <w:bCs/>
          <w:lang w:val="fr-FR"/>
        </w:rPr>
        <w:t xml:space="preserve"> (18 décembre 2014, affaire C</w:t>
      </w:r>
      <w:r w:rsidR="007C1D53" w:rsidRPr="00A66252">
        <w:rPr>
          <w:rFonts w:hint="eastAsia"/>
          <w:bCs/>
          <w:lang w:val="fr-FR"/>
        </w:rPr>
        <w:t>‑</w:t>
      </w:r>
      <w:r w:rsidR="007C1D53" w:rsidRPr="00A66252">
        <w:rPr>
          <w:bCs/>
          <w:lang w:val="fr-FR"/>
        </w:rPr>
        <w:t xml:space="preserve">542/13) et </w:t>
      </w:r>
      <w:r w:rsidR="007C1D53" w:rsidRPr="00A66252">
        <w:rPr>
          <w:rFonts w:eastAsia="Times New Roman"/>
          <w:i/>
          <w:lang w:val="fr-FR" w:eastAsia="fr-FR"/>
        </w:rPr>
        <w:t>Centre public d</w:t>
      </w:r>
      <w:r w:rsidR="00A66252" w:rsidRPr="00A66252">
        <w:rPr>
          <w:rFonts w:eastAsia="Times New Roman"/>
          <w:i/>
          <w:lang w:val="fr-FR" w:eastAsia="fr-FR"/>
        </w:rPr>
        <w:t>’</w:t>
      </w:r>
      <w:r w:rsidR="007C1D53" w:rsidRPr="00A66252">
        <w:rPr>
          <w:rFonts w:eastAsia="Times New Roman"/>
          <w:i/>
          <w:lang w:val="fr-FR" w:eastAsia="fr-FR"/>
        </w:rPr>
        <w:t>action sociale d</w:t>
      </w:r>
      <w:r w:rsidR="00A66252" w:rsidRPr="00A66252">
        <w:rPr>
          <w:rFonts w:eastAsia="Times New Roman"/>
          <w:i/>
          <w:lang w:val="fr-FR" w:eastAsia="fr-FR"/>
        </w:rPr>
        <w:t>’</w:t>
      </w:r>
      <w:r w:rsidR="007C1D53" w:rsidRPr="00A66252">
        <w:rPr>
          <w:rFonts w:eastAsia="Times New Roman"/>
          <w:i/>
          <w:lang w:val="fr-FR" w:eastAsia="fr-FR"/>
        </w:rPr>
        <w:t xml:space="preserve">Ottignies-Louvain-La-Neuve contre Moussa </w:t>
      </w:r>
      <w:proofErr w:type="spellStart"/>
      <w:r w:rsidR="007C1D53" w:rsidRPr="00A66252">
        <w:rPr>
          <w:rFonts w:eastAsia="Times New Roman"/>
          <w:i/>
          <w:lang w:val="fr-FR" w:eastAsia="fr-FR"/>
        </w:rPr>
        <w:t>Abdida</w:t>
      </w:r>
      <w:proofErr w:type="spellEnd"/>
      <w:r w:rsidR="007C1D53" w:rsidRPr="00A66252">
        <w:rPr>
          <w:rFonts w:eastAsia="Times New Roman"/>
          <w:i/>
          <w:lang w:val="fr-FR" w:eastAsia="fr-FR"/>
        </w:rPr>
        <w:t xml:space="preserve"> </w:t>
      </w:r>
      <w:r w:rsidR="007C1D53" w:rsidRPr="00A66252">
        <w:rPr>
          <w:rFonts w:eastAsia="Times New Roman"/>
          <w:lang w:val="fr-FR" w:eastAsia="fr-FR"/>
        </w:rPr>
        <w:t>(18 décembre 2014, affaire C-562/13) – la CJUE fut interrogée sur les relations entre l</w:t>
      </w:r>
      <w:r w:rsidR="00A66252" w:rsidRPr="00A66252">
        <w:rPr>
          <w:rFonts w:eastAsia="Times New Roman"/>
          <w:lang w:val="fr-FR" w:eastAsia="fr-FR"/>
        </w:rPr>
        <w:t>’</w:t>
      </w:r>
      <w:r w:rsidR="007C1D53" w:rsidRPr="00A66252">
        <w:rPr>
          <w:rFonts w:eastAsia="Times New Roman"/>
          <w:lang w:val="fr-FR" w:eastAsia="fr-FR"/>
        </w:rPr>
        <w:t>article 9</w:t>
      </w:r>
      <w:r w:rsidR="007C1D53" w:rsidRPr="00A66252">
        <w:rPr>
          <w:rFonts w:eastAsia="Times New Roman"/>
          <w:i/>
          <w:lang w:val="fr-FR" w:eastAsia="fr-FR"/>
        </w:rPr>
        <w:t xml:space="preserve">ter </w:t>
      </w:r>
      <w:r w:rsidR="007C1D53" w:rsidRPr="00A66252">
        <w:rPr>
          <w:rFonts w:eastAsia="Times New Roman"/>
          <w:lang w:val="fr-FR" w:eastAsia="fr-FR"/>
        </w:rPr>
        <w:t>de la loi sur les étrangers et le droit de l</w:t>
      </w:r>
      <w:r w:rsidR="00A66252" w:rsidRPr="00A66252">
        <w:rPr>
          <w:rFonts w:eastAsia="Times New Roman"/>
          <w:lang w:val="fr-FR" w:eastAsia="fr-FR"/>
        </w:rPr>
        <w:t>’</w:t>
      </w:r>
      <w:r w:rsidR="007C1D53" w:rsidRPr="00A66252">
        <w:rPr>
          <w:rFonts w:eastAsia="Times New Roman"/>
          <w:lang w:val="fr-FR" w:eastAsia="fr-FR"/>
        </w:rPr>
        <w:t>Union européenne</w:t>
      </w:r>
      <w:r w:rsidR="0092045A" w:rsidRPr="00A66252">
        <w:rPr>
          <w:rFonts w:eastAsia="Times New Roman"/>
          <w:lang w:val="fr-FR" w:eastAsia="fr-FR"/>
        </w:rPr>
        <w:t xml:space="preserve"> (« UE »)</w:t>
      </w:r>
      <w:r w:rsidR="007C1D53" w:rsidRPr="00A66252">
        <w:rPr>
          <w:rFonts w:eastAsia="Times New Roman"/>
          <w:lang w:val="fr-FR" w:eastAsia="fr-FR"/>
        </w:rPr>
        <w:t>.</w:t>
      </w:r>
    </w:p>
    <w:bookmarkStart w:id="29" w:name="MBODJ"/>
    <w:p w:rsidR="007C1D53" w:rsidRPr="00A66252" w:rsidRDefault="00B47DAE" w:rsidP="00A66252">
      <w:pPr>
        <w:pStyle w:val="ECHRPara"/>
        <w:rPr>
          <w:bCs/>
          <w:lang w:val="fr-FR"/>
        </w:rPr>
      </w:pPr>
      <w:r w:rsidRPr="00A66252">
        <w:rPr>
          <w:bCs/>
          <w:lang w:val="fr-FR"/>
        </w:rPr>
        <w:fldChar w:fldCharType="begin"/>
      </w:r>
      <w:r w:rsidRPr="00A66252">
        <w:rPr>
          <w:bCs/>
          <w:lang w:val="fr-FR"/>
        </w:rPr>
        <w:instrText xml:space="preserve"> SEQ level0 \*arabic </w:instrText>
      </w:r>
      <w:r w:rsidRPr="00A66252">
        <w:rPr>
          <w:bCs/>
          <w:lang w:val="fr-FR"/>
        </w:rPr>
        <w:fldChar w:fldCharType="separate"/>
      </w:r>
      <w:r w:rsidR="00A66252" w:rsidRPr="00A66252">
        <w:rPr>
          <w:bCs/>
          <w:noProof/>
          <w:lang w:val="fr-FR"/>
        </w:rPr>
        <w:t>121</w:t>
      </w:r>
      <w:r w:rsidRPr="00A66252">
        <w:rPr>
          <w:bCs/>
          <w:lang w:val="fr-FR"/>
        </w:rPr>
        <w:fldChar w:fldCharType="end"/>
      </w:r>
      <w:bookmarkEnd w:id="29"/>
      <w:r w:rsidRPr="00A66252">
        <w:rPr>
          <w:bCs/>
          <w:lang w:val="fr-FR"/>
        </w:rPr>
        <w:t>.  Dans l</w:t>
      </w:r>
      <w:r w:rsidR="00A66252" w:rsidRPr="00A66252">
        <w:rPr>
          <w:bCs/>
          <w:lang w:val="fr-FR"/>
        </w:rPr>
        <w:t>’</w:t>
      </w:r>
      <w:r w:rsidRPr="00A66252">
        <w:rPr>
          <w:bCs/>
          <w:lang w:val="fr-FR"/>
        </w:rPr>
        <w:t xml:space="preserve">affaire </w:t>
      </w:r>
      <w:r w:rsidRPr="00A66252">
        <w:rPr>
          <w:bCs/>
          <w:i/>
          <w:lang w:val="fr-FR"/>
        </w:rPr>
        <w:t>M</w:t>
      </w:r>
      <w:r w:rsidR="00A66252" w:rsidRPr="00A66252">
        <w:rPr>
          <w:bCs/>
          <w:i/>
          <w:lang w:val="fr-FR"/>
        </w:rPr>
        <w:t>’</w:t>
      </w:r>
      <w:proofErr w:type="spellStart"/>
      <w:r w:rsidRPr="00A66252">
        <w:rPr>
          <w:bCs/>
          <w:i/>
          <w:lang w:val="fr-FR"/>
        </w:rPr>
        <w:t>Bodj</w:t>
      </w:r>
      <w:proofErr w:type="spellEnd"/>
      <w:r w:rsidRPr="00A66252">
        <w:rPr>
          <w:bCs/>
          <w:i/>
          <w:lang w:val="fr-FR"/>
        </w:rPr>
        <w:t xml:space="preserve"> </w:t>
      </w:r>
      <w:r w:rsidRPr="00A66252">
        <w:rPr>
          <w:bCs/>
          <w:lang w:val="fr-FR"/>
        </w:rPr>
        <w:t xml:space="preserve">(points </w:t>
      </w:r>
      <w:r w:rsidR="006425F5" w:rsidRPr="00A66252">
        <w:rPr>
          <w:bCs/>
          <w:lang w:val="fr-FR"/>
        </w:rPr>
        <w:t>39-47</w:t>
      </w:r>
      <w:r w:rsidRPr="00A66252">
        <w:rPr>
          <w:bCs/>
          <w:lang w:val="fr-FR"/>
        </w:rPr>
        <w:t xml:space="preserve">), la CJUE </w:t>
      </w:r>
      <w:r w:rsidR="00C117CE" w:rsidRPr="00A66252">
        <w:rPr>
          <w:bCs/>
          <w:lang w:val="fr-FR"/>
        </w:rPr>
        <w:t xml:space="preserve">a </w:t>
      </w:r>
      <w:r w:rsidRPr="00A66252">
        <w:rPr>
          <w:bCs/>
          <w:lang w:val="fr-FR"/>
        </w:rPr>
        <w:t>jug</w:t>
      </w:r>
      <w:r w:rsidR="00C117CE" w:rsidRPr="00A66252">
        <w:rPr>
          <w:bCs/>
          <w:lang w:val="fr-FR"/>
        </w:rPr>
        <w:t>é</w:t>
      </w:r>
      <w:r w:rsidRPr="00A66252">
        <w:rPr>
          <w:bCs/>
          <w:lang w:val="fr-FR"/>
        </w:rPr>
        <w:t xml:space="preserve"> que </w:t>
      </w:r>
      <w:r w:rsidR="00215980" w:rsidRPr="00A66252">
        <w:rPr>
          <w:bCs/>
          <w:lang w:val="fr-FR"/>
        </w:rPr>
        <w:t>l</w:t>
      </w:r>
      <w:r w:rsidR="00A66252" w:rsidRPr="00A66252">
        <w:rPr>
          <w:bCs/>
          <w:lang w:val="fr-FR"/>
        </w:rPr>
        <w:t>’</w:t>
      </w:r>
      <w:r w:rsidR="00215980" w:rsidRPr="00A66252">
        <w:rPr>
          <w:bCs/>
          <w:lang w:val="fr-FR"/>
        </w:rPr>
        <w:t>octroi d</w:t>
      </w:r>
      <w:r w:rsidR="00A66252" w:rsidRPr="00A66252">
        <w:rPr>
          <w:bCs/>
          <w:lang w:val="fr-FR"/>
        </w:rPr>
        <w:t>’</w:t>
      </w:r>
      <w:r w:rsidR="00215980" w:rsidRPr="00A66252">
        <w:rPr>
          <w:bCs/>
          <w:lang w:val="fr-FR"/>
        </w:rPr>
        <w:t xml:space="preserve">un </w:t>
      </w:r>
      <w:r w:rsidRPr="00A66252">
        <w:rPr>
          <w:bCs/>
          <w:lang w:val="fr-FR"/>
        </w:rPr>
        <w:t>titre de séjour pour motif</w:t>
      </w:r>
      <w:r w:rsidR="00215980" w:rsidRPr="00A66252">
        <w:rPr>
          <w:bCs/>
          <w:lang w:val="fr-FR"/>
        </w:rPr>
        <w:t>s</w:t>
      </w:r>
      <w:r w:rsidRPr="00A66252">
        <w:rPr>
          <w:bCs/>
          <w:lang w:val="fr-FR"/>
        </w:rPr>
        <w:t xml:space="preserve"> médicaux </w:t>
      </w:r>
      <w:r w:rsidR="00215980" w:rsidRPr="00A66252">
        <w:rPr>
          <w:bCs/>
          <w:lang w:val="fr-FR"/>
        </w:rPr>
        <w:t>à des personnes ne remplissan</w:t>
      </w:r>
      <w:r w:rsidR="00C117CE" w:rsidRPr="00A66252">
        <w:rPr>
          <w:bCs/>
          <w:lang w:val="fr-FR"/>
        </w:rPr>
        <w:t xml:space="preserve">t </w:t>
      </w:r>
      <w:r w:rsidRPr="00A66252">
        <w:rPr>
          <w:bCs/>
          <w:lang w:val="fr-FR"/>
        </w:rPr>
        <w:t xml:space="preserve">pas </w:t>
      </w:r>
      <w:r w:rsidR="00C117CE" w:rsidRPr="00A66252">
        <w:rPr>
          <w:bCs/>
          <w:lang w:val="fr-FR"/>
        </w:rPr>
        <w:t xml:space="preserve">les conditions essentielles pour bénéficier du </w:t>
      </w:r>
      <w:r w:rsidRPr="00A66252">
        <w:rPr>
          <w:bCs/>
          <w:lang w:val="fr-FR"/>
        </w:rPr>
        <w:t xml:space="preserve">régime de protection </w:t>
      </w:r>
      <w:r w:rsidR="00215980" w:rsidRPr="00A66252">
        <w:rPr>
          <w:bCs/>
          <w:lang w:val="fr-FR"/>
        </w:rPr>
        <w:t>subsidiaire</w:t>
      </w:r>
      <w:r w:rsidRPr="00A66252">
        <w:rPr>
          <w:bCs/>
          <w:lang w:val="fr-FR"/>
        </w:rPr>
        <w:t xml:space="preserve"> consacré par la directive Qualification, ne </w:t>
      </w:r>
      <w:r w:rsidR="00A74306" w:rsidRPr="00A66252">
        <w:rPr>
          <w:bCs/>
          <w:lang w:val="fr-FR"/>
        </w:rPr>
        <w:t>pouvait</w:t>
      </w:r>
      <w:r w:rsidRPr="00A66252">
        <w:rPr>
          <w:bCs/>
          <w:lang w:val="fr-FR"/>
        </w:rPr>
        <w:t xml:space="preserve"> être considéré comme une </w:t>
      </w:r>
      <w:r w:rsidR="00215980" w:rsidRPr="00A66252">
        <w:rPr>
          <w:bCs/>
          <w:lang w:val="fr-FR"/>
        </w:rPr>
        <w:t>norme plus favorable, au sens de l</w:t>
      </w:r>
      <w:r w:rsidR="00A66252" w:rsidRPr="00A66252">
        <w:rPr>
          <w:bCs/>
          <w:lang w:val="fr-FR"/>
        </w:rPr>
        <w:t>’</w:t>
      </w:r>
      <w:r w:rsidR="00215980" w:rsidRPr="00A66252">
        <w:rPr>
          <w:bCs/>
          <w:lang w:val="fr-FR"/>
        </w:rPr>
        <w:t xml:space="preserve">article 3 de la directive dans le cadre même de cette protection subsidiaire, </w:t>
      </w:r>
      <w:r w:rsidRPr="00A66252">
        <w:rPr>
          <w:bCs/>
          <w:lang w:val="fr-FR"/>
        </w:rPr>
        <w:t xml:space="preserve">et </w:t>
      </w:r>
      <w:r w:rsidR="00215980" w:rsidRPr="00A66252">
        <w:rPr>
          <w:bCs/>
          <w:lang w:val="fr-FR"/>
        </w:rPr>
        <w:t>n</w:t>
      </w:r>
      <w:r w:rsidR="00A66252" w:rsidRPr="00A66252">
        <w:rPr>
          <w:bCs/>
          <w:lang w:val="fr-FR"/>
        </w:rPr>
        <w:t>’</w:t>
      </w:r>
      <w:r w:rsidR="00215980" w:rsidRPr="00A66252">
        <w:rPr>
          <w:bCs/>
          <w:lang w:val="fr-FR"/>
        </w:rPr>
        <w:t xml:space="preserve">entrait donc pas dans </w:t>
      </w:r>
      <w:r w:rsidRPr="00A66252">
        <w:rPr>
          <w:bCs/>
          <w:lang w:val="fr-FR"/>
        </w:rPr>
        <w:t>son champ d</w:t>
      </w:r>
      <w:r w:rsidR="00A66252" w:rsidRPr="00A66252">
        <w:rPr>
          <w:bCs/>
          <w:lang w:val="fr-FR"/>
        </w:rPr>
        <w:t>’</w:t>
      </w:r>
      <w:r w:rsidRPr="00A66252">
        <w:rPr>
          <w:bCs/>
          <w:lang w:val="fr-FR"/>
        </w:rPr>
        <w:t xml:space="preserve">application. Même en tenant compte de la jurisprudence </w:t>
      </w:r>
      <w:r w:rsidRPr="00A66252">
        <w:rPr>
          <w:bCs/>
          <w:i/>
          <w:lang w:val="fr-FR"/>
        </w:rPr>
        <w:t>N.</w:t>
      </w:r>
      <w:r w:rsidR="00761BF3" w:rsidRPr="00A66252">
        <w:rPr>
          <w:bCs/>
          <w:i/>
          <w:lang w:val="fr-FR"/>
        </w:rPr>
        <w:t> c. </w:t>
      </w:r>
      <w:r w:rsidR="00963A36" w:rsidRPr="00A66252">
        <w:rPr>
          <w:bCs/>
          <w:i/>
          <w:lang w:val="fr-FR"/>
        </w:rPr>
        <w:t>Royaume-Uni</w:t>
      </w:r>
      <w:r w:rsidRPr="00A66252">
        <w:rPr>
          <w:bCs/>
          <w:i/>
          <w:lang w:val="fr-FR"/>
        </w:rPr>
        <w:t xml:space="preserve"> </w:t>
      </w:r>
      <w:r w:rsidRPr="00A66252">
        <w:rPr>
          <w:bCs/>
          <w:lang w:val="fr-FR"/>
        </w:rPr>
        <w:t>qui autoris</w:t>
      </w:r>
      <w:r w:rsidR="00C117CE" w:rsidRPr="00A66252">
        <w:rPr>
          <w:bCs/>
          <w:lang w:val="fr-FR"/>
        </w:rPr>
        <w:t>e</w:t>
      </w:r>
      <w:r w:rsidRPr="00A66252">
        <w:rPr>
          <w:bCs/>
          <w:lang w:val="fr-FR"/>
        </w:rPr>
        <w:t xml:space="preserve">, dans des cas très exceptionnels, à invoquer des circonstances humanitaires </w:t>
      </w:r>
      <w:r w:rsidR="00C117CE" w:rsidRPr="00A66252">
        <w:rPr>
          <w:bCs/>
          <w:lang w:val="fr-FR"/>
        </w:rPr>
        <w:t xml:space="preserve">appelant </w:t>
      </w:r>
      <w:r w:rsidRPr="00A66252">
        <w:rPr>
          <w:bCs/>
          <w:lang w:val="fr-FR"/>
        </w:rPr>
        <w:t>la protection de l</w:t>
      </w:r>
      <w:r w:rsidR="00A66252" w:rsidRPr="00A66252">
        <w:rPr>
          <w:bCs/>
          <w:lang w:val="fr-FR"/>
        </w:rPr>
        <w:t>’</w:t>
      </w:r>
      <w:r w:rsidRPr="00A66252">
        <w:rPr>
          <w:bCs/>
          <w:lang w:val="fr-FR"/>
        </w:rPr>
        <w:t>article 3 de la Convention dans le cas de l</w:t>
      </w:r>
      <w:r w:rsidR="00A66252" w:rsidRPr="00A66252">
        <w:rPr>
          <w:bCs/>
          <w:lang w:val="fr-FR"/>
        </w:rPr>
        <w:t>’</w:t>
      </w:r>
      <w:r w:rsidRPr="00A66252">
        <w:rPr>
          <w:bCs/>
          <w:lang w:val="fr-FR"/>
        </w:rPr>
        <w:t>éloignement d</w:t>
      </w:r>
      <w:r w:rsidR="00A66252" w:rsidRPr="00A66252">
        <w:rPr>
          <w:bCs/>
          <w:lang w:val="fr-FR"/>
        </w:rPr>
        <w:t>’</w:t>
      </w:r>
      <w:r w:rsidRPr="00A66252">
        <w:rPr>
          <w:bCs/>
          <w:lang w:val="fr-FR"/>
        </w:rPr>
        <w:t>un étranger gravement malade, le risque de détérioration de l</w:t>
      </w:r>
      <w:r w:rsidR="00A66252" w:rsidRPr="00A66252">
        <w:rPr>
          <w:bCs/>
          <w:lang w:val="fr-FR"/>
        </w:rPr>
        <w:t>’</w:t>
      </w:r>
      <w:r w:rsidRPr="00A66252">
        <w:rPr>
          <w:bCs/>
          <w:lang w:val="fr-FR"/>
        </w:rPr>
        <w:t>état de santé d</w:t>
      </w:r>
      <w:r w:rsidR="00A66252" w:rsidRPr="00A66252">
        <w:rPr>
          <w:bCs/>
          <w:lang w:val="fr-FR"/>
        </w:rPr>
        <w:t>’</w:t>
      </w:r>
      <w:r w:rsidRPr="00A66252">
        <w:rPr>
          <w:bCs/>
          <w:lang w:val="fr-FR"/>
        </w:rPr>
        <w:t>un étranger atteint d</w:t>
      </w:r>
      <w:r w:rsidR="00A66252" w:rsidRPr="00A66252">
        <w:rPr>
          <w:bCs/>
          <w:lang w:val="fr-FR"/>
        </w:rPr>
        <w:t>’</w:t>
      </w:r>
      <w:r w:rsidRPr="00A66252">
        <w:rPr>
          <w:bCs/>
          <w:lang w:val="fr-FR"/>
        </w:rPr>
        <w:t>une grave maladie résultant de l</w:t>
      </w:r>
      <w:r w:rsidR="00A66252" w:rsidRPr="00A66252">
        <w:rPr>
          <w:bCs/>
          <w:lang w:val="fr-FR"/>
        </w:rPr>
        <w:t>’</w:t>
      </w:r>
      <w:r w:rsidRPr="00A66252">
        <w:rPr>
          <w:bCs/>
          <w:lang w:val="fr-FR"/>
        </w:rPr>
        <w:t xml:space="preserve">inexistence de soins adéquats dans son pays </w:t>
      </w:r>
      <w:r w:rsidR="00712647" w:rsidRPr="00A66252">
        <w:rPr>
          <w:bCs/>
          <w:lang w:val="fr-FR"/>
        </w:rPr>
        <w:t>de destination</w:t>
      </w:r>
      <w:r w:rsidRPr="00A66252">
        <w:rPr>
          <w:bCs/>
          <w:lang w:val="fr-FR"/>
        </w:rPr>
        <w:t xml:space="preserve"> ne suffi</w:t>
      </w:r>
      <w:r w:rsidR="00A74306" w:rsidRPr="00A66252">
        <w:rPr>
          <w:bCs/>
          <w:lang w:val="fr-FR"/>
        </w:rPr>
        <w:t>sai</w:t>
      </w:r>
      <w:r w:rsidRPr="00A66252">
        <w:rPr>
          <w:bCs/>
          <w:lang w:val="fr-FR"/>
        </w:rPr>
        <w:t>t pas</w:t>
      </w:r>
      <w:r w:rsidR="00C117CE" w:rsidRPr="00A66252">
        <w:rPr>
          <w:bCs/>
          <w:lang w:val="fr-FR"/>
        </w:rPr>
        <w:t>, selon la CJUE,</w:t>
      </w:r>
      <w:r w:rsidRPr="00A66252">
        <w:rPr>
          <w:bCs/>
          <w:lang w:val="fr-FR"/>
        </w:rPr>
        <w:t xml:space="preserve"> à </w:t>
      </w:r>
      <w:r w:rsidR="00C117CE" w:rsidRPr="00A66252">
        <w:rPr>
          <w:bCs/>
          <w:lang w:val="fr-FR"/>
        </w:rPr>
        <w:t xml:space="preserve">entraîner le </w:t>
      </w:r>
      <w:r w:rsidRPr="00A66252">
        <w:rPr>
          <w:bCs/>
          <w:lang w:val="fr-FR"/>
        </w:rPr>
        <w:t>bénéfice de la protection subsidiaire, dès lors que les atteintes n</w:t>
      </w:r>
      <w:r w:rsidR="00A66252" w:rsidRPr="00A66252">
        <w:rPr>
          <w:bCs/>
          <w:lang w:val="fr-FR"/>
        </w:rPr>
        <w:t>’</w:t>
      </w:r>
      <w:r w:rsidR="00A74306" w:rsidRPr="00A66252">
        <w:rPr>
          <w:bCs/>
          <w:lang w:val="fr-FR"/>
        </w:rPr>
        <w:t>étaient</w:t>
      </w:r>
      <w:r w:rsidRPr="00A66252">
        <w:rPr>
          <w:bCs/>
          <w:lang w:val="fr-FR"/>
        </w:rPr>
        <w:t xml:space="preserve"> pas constituées par le comportement d</w:t>
      </w:r>
      <w:r w:rsidR="00A66252" w:rsidRPr="00A66252">
        <w:rPr>
          <w:bCs/>
          <w:lang w:val="fr-FR"/>
        </w:rPr>
        <w:t>’</w:t>
      </w:r>
      <w:r w:rsidRPr="00A66252">
        <w:rPr>
          <w:bCs/>
          <w:lang w:val="fr-FR"/>
        </w:rPr>
        <w:t>un acteur tiers étatique ou non-étatique.</w:t>
      </w:r>
    </w:p>
    <w:p w:rsidR="007C1D53" w:rsidRPr="00A66252" w:rsidRDefault="00B47DAE" w:rsidP="00A66252">
      <w:pPr>
        <w:pStyle w:val="ECHRPara"/>
        <w:rPr>
          <w:bCs/>
          <w:lang w:val="fr-FR"/>
        </w:rPr>
      </w:pPr>
      <w:r w:rsidRPr="00A66252">
        <w:rPr>
          <w:bCs/>
          <w:lang w:val="fr-FR"/>
        </w:rPr>
        <w:fldChar w:fldCharType="begin"/>
      </w:r>
      <w:r w:rsidRPr="00A66252">
        <w:rPr>
          <w:bCs/>
          <w:lang w:val="fr-FR"/>
        </w:rPr>
        <w:instrText xml:space="preserve"> SEQ level0 \*arabic </w:instrText>
      </w:r>
      <w:r w:rsidRPr="00A66252">
        <w:rPr>
          <w:bCs/>
          <w:lang w:val="fr-FR"/>
        </w:rPr>
        <w:fldChar w:fldCharType="separate"/>
      </w:r>
      <w:r w:rsidR="00A66252" w:rsidRPr="00A66252">
        <w:rPr>
          <w:bCs/>
          <w:noProof/>
          <w:lang w:val="fr-FR"/>
        </w:rPr>
        <w:t>122</w:t>
      </w:r>
      <w:r w:rsidRPr="00A66252">
        <w:rPr>
          <w:bCs/>
          <w:lang w:val="fr-FR"/>
        </w:rPr>
        <w:fldChar w:fldCharType="end"/>
      </w:r>
      <w:r w:rsidRPr="00A66252">
        <w:rPr>
          <w:bCs/>
          <w:lang w:val="fr-FR"/>
        </w:rPr>
        <w:t>.  Dans l</w:t>
      </w:r>
      <w:r w:rsidR="00A66252" w:rsidRPr="00A66252">
        <w:rPr>
          <w:bCs/>
          <w:lang w:val="fr-FR"/>
        </w:rPr>
        <w:t>’</w:t>
      </w:r>
      <w:r w:rsidRPr="00A66252">
        <w:rPr>
          <w:bCs/>
          <w:lang w:val="fr-FR"/>
        </w:rPr>
        <w:t xml:space="preserve">affaire </w:t>
      </w:r>
      <w:proofErr w:type="spellStart"/>
      <w:r w:rsidRPr="00A66252">
        <w:rPr>
          <w:bCs/>
          <w:i/>
          <w:lang w:val="fr-FR"/>
        </w:rPr>
        <w:t>Abdida</w:t>
      </w:r>
      <w:proofErr w:type="spellEnd"/>
      <w:r w:rsidRPr="00A66252">
        <w:rPr>
          <w:bCs/>
          <w:lang w:val="fr-FR"/>
        </w:rPr>
        <w:t xml:space="preserve"> (points</w:t>
      </w:r>
      <w:r w:rsidR="003912A3" w:rsidRPr="00A66252">
        <w:rPr>
          <w:bCs/>
          <w:lang w:val="fr-FR"/>
        </w:rPr>
        <w:t xml:space="preserve"> 33 et</w:t>
      </w:r>
      <w:r w:rsidRPr="00A66252">
        <w:rPr>
          <w:bCs/>
          <w:lang w:val="fr-FR"/>
        </w:rPr>
        <w:t xml:space="preserve"> </w:t>
      </w:r>
      <w:r w:rsidR="003912A3" w:rsidRPr="00A66252">
        <w:rPr>
          <w:bCs/>
          <w:lang w:val="fr-FR"/>
        </w:rPr>
        <w:t>38-63</w:t>
      </w:r>
      <w:r w:rsidRPr="00A66252">
        <w:rPr>
          <w:bCs/>
          <w:lang w:val="fr-FR"/>
        </w:rPr>
        <w:t>), la CJUE juge</w:t>
      </w:r>
      <w:r w:rsidR="003912A3" w:rsidRPr="00A66252">
        <w:rPr>
          <w:bCs/>
          <w:lang w:val="fr-FR"/>
        </w:rPr>
        <w:t>a</w:t>
      </w:r>
      <w:r w:rsidRPr="00A66252">
        <w:rPr>
          <w:bCs/>
          <w:lang w:val="fr-FR"/>
        </w:rPr>
        <w:t xml:space="preserve"> que si le titre de séjour médical ne rel</w:t>
      </w:r>
      <w:r w:rsidR="003912A3" w:rsidRPr="00A66252">
        <w:rPr>
          <w:bCs/>
          <w:lang w:val="fr-FR"/>
        </w:rPr>
        <w:t xml:space="preserve">evait </w:t>
      </w:r>
      <w:r w:rsidRPr="00A66252">
        <w:rPr>
          <w:bCs/>
          <w:lang w:val="fr-FR"/>
        </w:rPr>
        <w:t>pas du champ d</w:t>
      </w:r>
      <w:r w:rsidR="00A66252" w:rsidRPr="00A66252">
        <w:rPr>
          <w:bCs/>
          <w:lang w:val="fr-FR"/>
        </w:rPr>
        <w:t>’</w:t>
      </w:r>
      <w:r w:rsidRPr="00A66252">
        <w:rPr>
          <w:bCs/>
          <w:lang w:val="fr-FR"/>
        </w:rPr>
        <w:t>application de la directive Qualification, la décision de refus d</w:t>
      </w:r>
      <w:r w:rsidR="00A66252" w:rsidRPr="00A66252">
        <w:rPr>
          <w:bCs/>
          <w:lang w:val="fr-FR"/>
        </w:rPr>
        <w:t>’</w:t>
      </w:r>
      <w:r w:rsidRPr="00A66252">
        <w:rPr>
          <w:bCs/>
          <w:lang w:val="fr-FR"/>
        </w:rPr>
        <w:t>un tel titre de séjour rel</w:t>
      </w:r>
      <w:r w:rsidR="003912A3" w:rsidRPr="00A66252">
        <w:rPr>
          <w:bCs/>
          <w:lang w:val="fr-FR"/>
        </w:rPr>
        <w:t xml:space="preserve">evait, elle, </w:t>
      </w:r>
      <w:r w:rsidRPr="00A66252">
        <w:rPr>
          <w:bCs/>
          <w:lang w:val="fr-FR"/>
        </w:rPr>
        <w:t>de la directive 2008/115/</w:t>
      </w:r>
      <w:r w:rsidR="007074BC" w:rsidRPr="00A66252">
        <w:rPr>
          <w:bCs/>
          <w:lang w:val="fr-FR"/>
        </w:rPr>
        <w:t>CE du P</w:t>
      </w:r>
      <w:r w:rsidRPr="00A66252">
        <w:rPr>
          <w:bCs/>
          <w:lang w:val="fr-FR"/>
        </w:rPr>
        <w:t xml:space="preserve">arlement européen et du </w:t>
      </w:r>
      <w:r w:rsidR="007074BC" w:rsidRPr="00A66252">
        <w:rPr>
          <w:bCs/>
          <w:lang w:val="fr-FR"/>
        </w:rPr>
        <w:t>C</w:t>
      </w:r>
      <w:r w:rsidRPr="00A66252">
        <w:rPr>
          <w:bCs/>
          <w:lang w:val="fr-FR"/>
        </w:rPr>
        <w:t>onseil</w:t>
      </w:r>
      <w:r w:rsidR="007074BC" w:rsidRPr="00A66252">
        <w:rPr>
          <w:bCs/>
          <w:lang w:val="fr-FR"/>
        </w:rPr>
        <w:t xml:space="preserve"> </w:t>
      </w:r>
      <w:r w:rsidR="00761BF3" w:rsidRPr="00A66252">
        <w:rPr>
          <w:bCs/>
          <w:lang w:val="fr-FR"/>
        </w:rPr>
        <w:t>du 16 </w:t>
      </w:r>
      <w:r w:rsidRPr="00A66252">
        <w:rPr>
          <w:bCs/>
          <w:lang w:val="fr-FR"/>
        </w:rPr>
        <w:t>décembre 2008</w:t>
      </w:r>
      <w:r w:rsidR="007074BC" w:rsidRPr="00A66252">
        <w:rPr>
          <w:bCs/>
          <w:lang w:val="fr-FR"/>
        </w:rPr>
        <w:t xml:space="preserve"> </w:t>
      </w:r>
      <w:r w:rsidRPr="00A66252">
        <w:rPr>
          <w:bCs/>
          <w:lang w:val="fr-FR"/>
        </w:rPr>
        <w:t>relative aux normes et procédures communes applicables dans les États membres au retour des</w:t>
      </w:r>
      <w:r w:rsidR="007074BC" w:rsidRPr="00A66252">
        <w:rPr>
          <w:bCs/>
          <w:lang w:val="fr-FR"/>
        </w:rPr>
        <w:t xml:space="preserve"> </w:t>
      </w:r>
      <w:r w:rsidRPr="00A66252">
        <w:rPr>
          <w:bCs/>
          <w:lang w:val="fr-FR"/>
        </w:rPr>
        <w:t>ressortissants de pays tiers en séjour irrégulier</w:t>
      </w:r>
      <w:r w:rsidR="007074BC" w:rsidRPr="00A66252">
        <w:rPr>
          <w:bCs/>
          <w:lang w:val="fr-FR"/>
        </w:rPr>
        <w:t xml:space="preserve"> (« directive Retour »). En tant que décision de retour, la décision de refus d</w:t>
      </w:r>
      <w:r w:rsidR="00A66252" w:rsidRPr="00A66252">
        <w:rPr>
          <w:bCs/>
          <w:lang w:val="fr-FR"/>
        </w:rPr>
        <w:t>’</w:t>
      </w:r>
      <w:r w:rsidR="007074BC" w:rsidRPr="00A66252">
        <w:rPr>
          <w:bCs/>
          <w:lang w:val="fr-FR"/>
        </w:rPr>
        <w:t>un titre de séjour médical est soumise au respect des garanties prévues par la directive Retour et par la Charte des droits fondamentaux</w:t>
      </w:r>
      <w:r w:rsidR="0092045A" w:rsidRPr="00A66252">
        <w:rPr>
          <w:bCs/>
          <w:lang w:val="fr-FR"/>
        </w:rPr>
        <w:t xml:space="preserve"> de l</w:t>
      </w:r>
      <w:r w:rsidR="00A66252" w:rsidRPr="00A66252">
        <w:rPr>
          <w:bCs/>
          <w:lang w:val="fr-FR"/>
        </w:rPr>
        <w:t>’</w:t>
      </w:r>
      <w:r w:rsidR="0092045A" w:rsidRPr="00A66252">
        <w:rPr>
          <w:bCs/>
          <w:lang w:val="fr-FR"/>
        </w:rPr>
        <w:t>UE</w:t>
      </w:r>
      <w:r w:rsidR="007074BC" w:rsidRPr="00A66252">
        <w:rPr>
          <w:bCs/>
          <w:lang w:val="fr-FR"/>
        </w:rPr>
        <w:t xml:space="preserve">. Cette dernière interdit en son article 19 </w:t>
      </w:r>
      <w:r w:rsidR="003912A3" w:rsidRPr="00A66252">
        <w:rPr>
          <w:bCs/>
          <w:lang w:val="fr-FR"/>
        </w:rPr>
        <w:t>paragraphe</w:t>
      </w:r>
      <w:r w:rsidR="007074BC" w:rsidRPr="00A66252">
        <w:rPr>
          <w:bCs/>
          <w:lang w:val="fr-FR"/>
        </w:rPr>
        <w:t xml:space="preserve"> 2 d</w:t>
      </w:r>
      <w:r w:rsidR="00A66252" w:rsidRPr="00A66252">
        <w:rPr>
          <w:bCs/>
          <w:lang w:val="fr-FR"/>
        </w:rPr>
        <w:t>’</w:t>
      </w:r>
      <w:r w:rsidR="007074BC" w:rsidRPr="00A66252">
        <w:rPr>
          <w:bCs/>
          <w:lang w:val="fr-FR"/>
        </w:rPr>
        <w:t>éloigner un individu vers un État où il existe un risque sérieux qu</w:t>
      </w:r>
      <w:r w:rsidR="00A66252" w:rsidRPr="00A66252">
        <w:rPr>
          <w:bCs/>
          <w:lang w:val="fr-FR"/>
        </w:rPr>
        <w:t>’</w:t>
      </w:r>
      <w:r w:rsidR="007074BC" w:rsidRPr="00A66252">
        <w:rPr>
          <w:bCs/>
          <w:lang w:val="fr-FR"/>
        </w:rPr>
        <w:t xml:space="preserve">il </w:t>
      </w:r>
      <w:r w:rsidR="00215980" w:rsidRPr="00A66252">
        <w:rPr>
          <w:bCs/>
          <w:lang w:val="fr-FR"/>
        </w:rPr>
        <w:t>soit soumis à la torture ou à d</w:t>
      </w:r>
      <w:r w:rsidR="00A66252" w:rsidRPr="00A66252">
        <w:rPr>
          <w:bCs/>
          <w:lang w:val="fr-FR"/>
        </w:rPr>
        <w:t>’</w:t>
      </w:r>
      <w:r w:rsidR="007074BC" w:rsidRPr="00A66252">
        <w:rPr>
          <w:bCs/>
          <w:lang w:val="fr-FR"/>
        </w:rPr>
        <w:t>autres peines ou traitements inhumains ou dégradants. Sachant qu</w:t>
      </w:r>
      <w:r w:rsidR="00A66252" w:rsidRPr="00A66252">
        <w:rPr>
          <w:bCs/>
          <w:lang w:val="fr-FR"/>
        </w:rPr>
        <w:t>’</w:t>
      </w:r>
      <w:r w:rsidR="007074BC" w:rsidRPr="00A66252">
        <w:rPr>
          <w:bCs/>
          <w:lang w:val="fr-FR"/>
        </w:rPr>
        <w:t>en vertu de l</w:t>
      </w:r>
      <w:r w:rsidR="00A66252" w:rsidRPr="00A66252">
        <w:rPr>
          <w:bCs/>
          <w:lang w:val="fr-FR"/>
        </w:rPr>
        <w:t>’</w:t>
      </w:r>
      <w:r w:rsidR="007074BC" w:rsidRPr="00A66252">
        <w:rPr>
          <w:bCs/>
          <w:lang w:val="fr-FR"/>
        </w:rPr>
        <w:t xml:space="preserve">article 52 </w:t>
      </w:r>
      <w:r w:rsidR="003912A3" w:rsidRPr="00A66252">
        <w:rPr>
          <w:bCs/>
          <w:lang w:val="fr-FR"/>
        </w:rPr>
        <w:t>paragraphe</w:t>
      </w:r>
      <w:r w:rsidR="007074BC" w:rsidRPr="00A66252">
        <w:rPr>
          <w:bCs/>
          <w:lang w:val="fr-FR"/>
        </w:rPr>
        <w:t xml:space="preserve"> 3 de la Charte, les droits qu</w:t>
      </w:r>
      <w:r w:rsidR="00A66252" w:rsidRPr="00A66252">
        <w:rPr>
          <w:bCs/>
          <w:lang w:val="fr-FR"/>
        </w:rPr>
        <w:t>’</w:t>
      </w:r>
      <w:r w:rsidR="007074BC" w:rsidRPr="00A66252">
        <w:rPr>
          <w:bCs/>
          <w:lang w:val="fr-FR"/>
        </w:rPr>
        <w:t xml:space="preserve">elle consacre revêtent au minimum le même sens et la même portée que les droits équivalents au sein de la Convention, </w:t>
      </w:r>
      <w:r w:rsidR="003A7EB9" w:rsidRPr="00A66252">
        <w:rPr>
          <w:bCs/>
          <w:lang w:val="fr-FR"/>
        </w:rPr>
        <w:t xml:space="preserve">la CJUE </w:t>
      </w:r>
      <w:r w:rsidR="00AB36E9" w:rsidRPr="00A66252">
        <w:rPr>
          <w:bCs/>
          <w:lang w:val="fr-FR"/>
        </w:rPr>
        <w:t>déduit de</w:t>
      </w:r>
      <w:r w:rsidR="003A7EB9" w:rsidRPr="00A66252">
        <w:rPr>
          <w:bCs/>
          <w:lang w:val="fr-FR"/>
        </w:rPr>
        <w:t xml:space="preserve"> la jurisprudence </w:t>
      </w:r>
      <w:r w:rsidR="003A7EB9" w:rsidRPr="00A66252">
        <w:rPr>
          <w:bCs/>
          <w:i/>
          <w:lang w:val="fr-FR"/>
        </w:rPr>
        <w:t>N. c. Royaume-Uni</w:t>
      </w:r>
      <w:r w:rsidR="003A7EB9" w:rsidRPr="00A66252">
        <w:rPr>
          <w:bCs/>
          <w:lang w:val="fr-FR"/>
        </w:rPr>
        <w:t xml:space="preserve"> précitée que la décision d</w:t>
      </w:r>
      <w:r w:rsidR="00A66252" w:rsidRPr="00A66252">
        <w:rPr>
          <w:bCs/>
          <w:lang w:val="fr-FR"/>
        </w:rPr>
        <w:t>’</w:t>
      </w:r>
      <w:r w:rsidR="003A7EB9" w:rsidRPr="00A66252">
        <w:rPr>
          <w:bCs/>
          <w:lang w:val="fr-FR"/>
        </w:rPr>
        <w:t>éloigner un étranger atteint d</w:t>
      </w:r>
      <w:r w:rsidR="00A66252" w:rsidRPr="00A66252">
        <w:rPr>
          <w:bCs/>
          <w:lang w:val="fr-FR"/>
        </w:rPr>
        <w:t>’</w:t>
      </w:r>
      <w:r w:rsidR="003A7EB9" w:rsidRPr="00A66252">
        <w:rPr>
          <w:bCs/>
          <w:lang w:val="fr-FR"/>
        </w:rPr>
        <w:t>une maladie physique ou mentale grave vers un pays où les moyens de traiter cette maladie sont infér</w:t>
      </w:r>
      <w:r w:rsidR="005F2811" w:rsidRPr="00A66252">
        <w:rPr>
          <w:bCs/>
          <w:lang w:val="fr-FR"/>
        </w:rPr>
        <w:t>ieurs à ceux disponibles dans l</w:t>
      </w:r>
      <w:r w:rsidR="00A66252" w:rsidRPr="00A66252">
        <w:rPr>
          <w:bCs/>
          <w:lang w:val="fr-FR"/>
        </w:rPr>
        <w:t>’</w:t>
      </w:r>
      <w:r w:rsidR="003A7EB9" w:rsidRPr="00A66252">
        <w:rPr>
          <w:bCs/>
          <w:lang w:val="fr-FR"/>
        </w:rPr>
        <w:t xml:space="preserve">État </w:t>
      </w:r>
      <w:r w:rsidR="005F2811" w:rsidRPr="00A66252">
        <w:rPr>
          <w:bCs/>
          <w:lang w:val="fr-FR"/>
        </w:rPr>
        <w:t xml:space="preserve">membre de renvoi </w:t>
      </w:r>
      <w:r w:rsidR="003A7EB9" w:rsidRPr="00A66252">
        <w:rPr>
          <w:bCs/>
          <w:lang w:val="fr-FR"/>
        </w:rPr>
        <w:t>est susceptible de soulever une question sous l</w:t>
      </w:r>
      <w:r w:rsidR="00A66252" w:rsidRPr="00A66252">
        <w:rPr>
          <w:bCs/>
          <w:lang w:val="fr-FR"/>
        </w:rPr>
        <w:t>’</w:t>
      </w:r>
      <w:r w:rsidR="003A7EB9" w:rsidRPr="00A66252">
        <w:rPr>
          <w:bCs/>
          <w:lang w:val="fr-FR"/>
        </w:rPr>
        <w:t>angle de l</w:t>
      </w:r>
      <w:r w:rsidR="00A66252" w:rsidRPr="00A66252">
        <w:rPr>
          <w:bCs/>
          <w:lang w:val="fr-FR"/>
        </w:rPr>
        <w:t>’</w:t>
      </w:r>
      <w:r w:rsidR="003A7EB9" w:rsidRPr="00A66252">
        <w:rPr>
          <w:bCs/>
          <w:lang w:val="fr-FR"/>
        </w:rPr>
        <w:t>article 3 de la Convention dans des cas très exceptionnels, lorsque les considérations humanitaires militant contre cet éloignement sont impérieuses. Ces cas très exceptionnels sont caractérisés</w:t>
      </w:r>
      <w:r w:rsidR="00AB36E9" w:rsidRPr="00A66252">
        <w:rPr>
          <w:bCs/>
          <w:lang w:val="fr-FR"/>
        </w:rPr>
        <w:t>, selon la CJUE,</w:t>
      </w:r>
      <w:r w:rsidR="003A7EB9" w:rsidRPr="00A66252">
        <w:rPr>
          <w:bCs/>
          <w:lang w:val="fr-FR"/>
        </w:rPr>
        <w:t xml:space="preserve"> par la gravité et le caractère irréparable du préjudice résultant de l</w:t>
      </w:r>
      <w:r w:rsidR="00A66252" w:rsidRPr="00A66252">
        <w:rPr>
          <w:bCs/>
          <w:lang w:val="fr-FR"/>
        </w:rPr>
        <w:t>’</w:t>
      </w:r>
      <w:r w:rsidR="003A7EB9" w:rsidRPr="00A66252">
        <w:rPr>
          <w:bCs/>
          <w:lang w:val="fr-FR"/>
        </w:rPr>
        <w:t xml:space="preserve">éloignement </w:t>
      </w:r>
      <w:r w:rsidR="003A7EB9" w:rsidRPr="00A66252">
        <w:rPr>
          <w:bCs/>
          <w:lang w:val="fr-FR"/>
        </w:rPr>
        <w:lastRenderedPageBreak/>
        <w:t>d</w:t>
      </w:r>
      <w:r w:rsidR="00A66252" w:rsidRPr="00A66252">
        <w:rPr>
          <w:bCs/>
          <w:lang w:val="fr-FR"/>
        </w:rPr>
        <w:t>’</w:t>
      </w:r>
      <w:r w:rsidR="003A7EB9" w:rsidRPr="00A66252">
        <w:rPr>
          <w:bCs/>
          <w:lang w:val="fr-FR"/>
        </w:rPr>
        <w:t>un ressortissant de pays tiers vers un pays dans lequel il existe un risque sérieux qu</w:t>
      </w:r>
      <w:r w:rsidR="00A66252" w:rsidRPr="00A66252">
        <w:rPr>
          <w:bCs/>
          <w:lang w:val="fr-FR"/>
        </w:rPr>
        <w:t>’</w:t>
      </w:r>
      <w:r w:rsidR="003A7EB9" w:rsidRPr="00A66252">
        <w:rPr>
          <w:bCs/>
          <w:lang w:val="fr-FR"/>
        </w:rPr>
        <w:t xml:space="preserve">il soit soumis à des traitements inhumains ou dégradants. </w:t>
      </w:r>
      <w:r w:rsidR="005F2811" w:rsidRPr="00A66252">
        <w:rPr>
          <w:bCs/>
          <w:lang w:val="fr-FR"/>
        </w:rPr>
        <w:t>La CJUE jugea</w:t>
      </w:r>
      <w:r w:rsidR="007074BC" w:rsidRPr="00A66252">
        <w:rPr>
          <w:bCs/>
          <w:lang w:val="fr-FR"/>
        </w:rPr>
        <w:t xml:space="preserve"> également qu</w:t>
      </w:r>
      <w:r w:rsidR="00A66252" w:rsidRPr="00A66252">
        <w:rPr>
          <w:bCs/>
          <w:lang w:val="fr-FR"/>
        </w:rPr>
        <w:t>’</w:t>
      </w:r>
      <w:r w:rsidR="007074BC" w:rsidRPr="00A66252">
        <w:rPr>
          <w:bCs/>
          <w:lang w:val="fr-FR"/>
        </w:rPr>
        <w:t>un recours à l</w:t>
      </w:r>
      <w:r w:rsidR="00A66252" w:rsidRPr="00A66252">
        <w:rPr>
          <w:bCs/>
          <w:lang w:val="fr-FR"/>
        </w:rPr>
        <w:t>’</w:t>
      </w:r>
      <w:r w:rsidR="007074BC" w:rsidRPr="00A66252">
        <w:rPr>
          <w:bCs/>
          <w:lang w:val="fr-FR"/>
        </w:rPr>
        <w:t>encontre d</w:t>
      </w:r>
      <w:r w:rsidR="00A66252" w:rsidRPr="00A66252">
        <w:rPr>
          <w:bCs/>
          <w:lang w:val="fr-FR"/>
        </w:rPr>
        <w:t>’</w:t>
      </w:r>
      <w:r w:rsidR="007074BC" w:rsidRPr="00A66252">
        <w:rPr>
          <w:bCs/>
          <w:lang w:val="fr-FR"/>
        </w:rPr>
        <w:t xml:space="preserve">une décision de refus de séjour médical </w:t>
      </w:r>
      <w:r w:rsidR="003912A3" w:rsidRPr="00A66252">
        <w:rPr>
          <w:bCs/>
          <w:lang w:val="fr-FR"/>
        </w:rPr>
        <w:t>devait</w:t>
      </w:r>
      <w:r w:rsidR="007074BC" w:rsidRPr="00A66252">
        <w:rPr>
          <w:bCs/>
          <w:lang w:val="fr-FR"/>
        </w:rPr>
        <w:t>, conformément à la jurisprudence de la Cour, revêtir un effet suspensif.</w:t>
      </w:r>
      <w:r w:rsidR="00E3225E" w:rsidRPr="00A66252">
        <w:rPr>
          <w:bCs/>
          <w:lang w:val="fr-FR"/>
        </w:rPr>
        <w:t xml:space="preserve"> Cet effet suspensif implique que soient pris en charge les besoins essentiels du demandeur en attendant qu</w:t>
      </w:r>
      <w:r w:rsidR="00A66252" w:rsidRPr="00A66252">
        <w:rPr>
          <w:bCs/>
          <w:lang w:val="fr-FR"/>
        </w:rPr>
        <w:t>’</w:t>
      </w:r>
      <w:r w:rsidR="00E3225E" w:rsidRPr="00A66252">
        <w:rPr>
          <w:bCs/>
          <w:lang w:val="fr-FR"/>
        </w:rPr>
        <w:t>il soit statué sur son recours conformément aux prescriptions de la directive Retour.</w:t>
      </w:r>
    </w:p>
    <w:p w:rsidR="00A66252" w:rsidRPr="00A66252" w:rsidRDefault="00C93FE5" w:rsidP="00A66252">
      <w:pPr>
        <w:pStyle w:val="ECHRHeading1"/>
        <w:rPr>
          <w:lang w:val="fr-FR"/>
        </w:rPr>
      </w:pPr>
      <w:r w:rsidRPr="00A66252">
        <w:rPr>
          <w:lang w:val="fr-FR"/>
        </w:rPr>
        <w:t>IV.  </w:t>
      </w:r>
      <w:r w:rsidR="007F720F" w:rsidRPr="00A66252">
        <w:rPr>
          <w:lang w:val="fr-FR"/>
        </w:rPr>
        <w:t>A</w:t>
      </w:r>
      <w:r w:rsidR="00764D02" w:rsidRPr="00A66252">
        <w:rPr>
          <w:lang w:val="fr-FR"/>
        </w:rPr>
        <w:t>UTRES SOURCES PERTINENTES</w:t>
      </w:r>
    </w:p>
    <w:p w:rsidR="0081647A" w:rsidRPr="00A66252" w:rsidRDefault="0000076E"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123</w:t>
      </w:r>
      <w:r w:rsidRPr="00A66252">
        <w:fldChar w:fldCharType="end"/>
      </w:r>
      <w:r w:rsidRPr="00A66252">
        <w:rPr>
          <w:lang w:val="fr-FR"/>
        </w:rPr>
        <w:t>.  </w:t>
      </w:r>
      <w:r w:rsidR="0081647A" w:rsidRPr="00A66252">
        <w:rPr>
          <w:lang w:val="fr-FR"/>
        </w:rPr>
        <w:t xml:space="preserve">Se fondant notamment sur les </w:t>
      </w:r>
      <w:r w:rsidR="00774660" w:rsidRPr="00A66252">
        <w:rPr>
          <w:lang w:val="fr-FR"/>
        </w:rPr>
        <w:t xml:space="preserve">mêmes </w:t>
      </w:r>
      <w:r w:rsidR="0081647A" w:rsidRPr="00A66252">
        <w:rPr>
          <w:lang w:val="fr-FR"/>
        </w:rPr>
        <w:t xml:space="preserve">informations </w:t>
      </w:r>
      <w:r w:rsidR="00774660" w:rsidRPr="00A66252">
        <w:rPr>
          <w:lang w:val="fr-FR"/>
        </w:rPr>
        <w:t xml:space="preserve">que celles relevées par </w:t>
      </w:r>
      <w:r w:rsidR="0081647A" w:rsidRPr="00A66252">
        <w:rPr>
          <w:lang w:val="fr-FR"/>
        </w:rPr>
        <w:t>l</w:t>
      </w:r>
      <w:r w:rsidR="00A66252" w:rsidRPr="00A66252">
        <w:rPr>
          <w:lang w:val="fr-FR"/>
        </w:rPr>
        <w:t>’</w:t>
      </w:r>
      <w:r w:rsidR="0081647A" w:rsidRPr="00A66252">
        <w:rPr>
          <w:lang w:val="fr-FR"/>
        </w:rPr>
        <w:t xml:space="preserve">arrêt de chambre (§§ </w:t>
      </w:r>
      <w:r w:rsidR="00215980" w:rsidRPr="00A66252">
        <w:rPr>
          <w:lang w:val="fr-FR"/>
        </w:rPr>
        <w:t>90-92), le Comité européen des d</w:t>
      </w:r>
      <w:r w:rsidR="0081647A" w:rsidRPr="00A66252">
        <w:rPr>
          <w:lang w:val="fr-FR"/>
        </w:rPr>
        <w:t>roits sociaux a</w:t>
      </w:r>
      <w:r w:rsidR="0034573A" w:rsidRPr="00A66252">
        <w:rPr>
          <w:lang w:val="fr-FR"/>
        </w:rPr>
        <w:t xml:space="preserve"> évalué la conformité du système de soins de santé en Géorgie</w:t>
      </w:r>
      <w:r w:rsidR="0081647A" w:rsidRPr="00A66252">
        <w:rPr>
          <w:lang w:val="fr-FR"/>
        </w:rPr>
        <w:t xml:space="preserve"> </w:t>
      </w:r>
      <w:r w:rsidR="0034573A" w:rsidRPr="00A66252">
        <w:rPr>
          <w:lang w:val="fr-FR"/>
        </w:rPr>
        <w:t>avec l</w:t>
      </w:r>
      <w:r w:rsidR="00A66252" w:rsidRPr="00A66252">
        <w:rPr>
          <w:lang w:val="fr-FR"/>
        </w:rPr>
        <w:t>’</w:t>
      </w:r>
      <w:r w:rsidR="0034573A" w:rsidRPr="00A66252">
        <w:rPr>
          <w:lang w:val="fr-FR"/>
        </w:rPr>
        <w:t xml:space="preserve">article 11 § </w:t>
      </w:r>
      <w:r w:rsidR="00F35CCE" w:rsidRPr="00A66252">
        <w:rPr>
          <w:lang w:val="fr-FR"/>
        </w:rPr>
        <w:t xml:space="preserve">1 </w:t>
      </w:r>
      <w:r w:rsidR="0034573A" w:rsidRPr="00A66252">
        <w:rPr>
          <w:lang w:val="fr-FR"/>
        </w:rPr>
        <w:t xml:space="preserve">de la Charte sociale européenne </w:t>
      </w:r>
      <w:r w:rsidR="00F35CCE" w:rsidRPr="00A66252">
        <w:rPr>
          <w:lang w:val="fr-FR"/>
        </w:rPr>
        <w:t>(droit à la protection de la santé, élimination des causes d</w:t>
      </w:r>
      <w:r w:rsidR="00A66252" w:rsidRPr="00A66252">
        <w:rPr>
          <w:lang w:val="fr-FR"/>
        </w:rPr>
        <w:t>’</w:t>
      </w:r>
      <w:r w:rsidR="00F35CCE" w:rsidRPr="00A66252">
        <w:rPr>
          <w:lang w:val="fr-FR"/>
        </w:rPr>
        <w:t xml:space="preserve">une santé déficiente) </w:t>
      </w:r>
      <w:r w:rsidR="0034573A" w:rsidRPr="00A66252">
        <w:rPr>
          <w:lang w:val="fr-FR"/>
        </w:rPr>
        <w:t xml:space="preserve">et a </w:t>
      </w:r>
      <w:r w:rsidR="0081647A" w:rsidRPr="00A66252">
        <w:rPr>
          <w:lang w:val="fr-FR"/>
        </w:rPr>
        <w:t>adopté la conclusion suivante</w:t>
      </w:r>
      <w:r w:rsidR="0034573A" w:rsidRPr="00A66252">
        <w:rPr>
          <w:lang w:val="fr-FR"/>
        </w:rPr>
        <w:t> (</w:t>
      </w:r>
      <w:r w:rsidR="00F35CCE" w:rsidRPr="00A66252">
        <w:rPr>
          <w:lang w:val="fr-FR"/>
        </w:rPr>
        <w:t>Conclusions 2</w:t>
      </w:r>
      <w:r w:rsidR="00C93FE5" w:rsidRPr="00A66252">
        <w:rPr>
          <w:lang w:val="fr-FR"/>
        </w:rPr>
        <w:t>015, Géorgie, article 11 § 1) :</w:t>
      </w:r>
    </w:p>
    <w:p w:rsidR="00A66252" w:rsidRPr="00A66252" w:rsidRDefault="00F35CCE" w:rsidP="00A66252">
      <w:pPr>
        <w:pStyle w:val="ECHRParaQuote"/>
        <w:rPr>
          <w:lang w:val="fr-FR"/>
        </w:rPr>
      </w:pPr>
      <w:r w:rsidRPr="00A66252">
        <w:rPr>
          <w:lang w:val="fr-FR"/>
        </w:rPr>
        <w:t>« (</w:t>
      </w:r>
      <w:r w:rsidR="009472B8" w:rsidRPr="00A66252">
        <w:rPr>
          <w:lang w:val="fr-FR"/>
        </w:rPr>
        <w:t>...</w:t>
      </w:r>
      <w:r w:rsidRPr="00A66252">
        <w:rPr>
          <w:lang w:val="fr-FR"/>
        </w:rPr>
        <w:t>)</w:t>
      </w:r>
    </w:p>
    <w:p w:rsidR="00A66252" w:rsidRPr="00A66252" w:rsidRDefault="00F35CCE" w:rsidP="00A66252">
      <w:pPr>
        <w:pStyle w:val="ECHRParaQuote"/>
        <w:rPr>
          <w:lang w:val="fr-FR"/>
        </w:rPr>
      </w:pPr>
      <w:r w:rsidRPr="00A66252">
        <w:rPr>
          <w:lang w:val="fr-FR"/>
        </w:rPr>
        <w:t>Le Comité prend note des informations fournies par la Géorgie en réponse à la conclusion selon laquelle l</w:t>
      </w:r>
      <w:r w:rsidR="00A66252" w:rsidRPr="00A66252">
        <w:rPr>
          <w:lang w:val="fr-FR"/>
        </w:rPr>
        <w:t>’</w:t>
      </w:r>
      <w:r w:rsidRPr="00A66252">
        <w:rPr>
          <w:lang w:val="fr-FR"/>
        </w:rPr>
        <w:t>existence d</w:t>
      </w:r>
      <w:r w:rsidR="00A66252" w:rsidRPr="00A66252">
        <w:rPr>
          <w:lang w:val="fr-FR"/>
        </w:rPr>
        <w:t>’</w:t>
      </w:r>
      <w:r w:rsidRPr="00A66252">
        <w:rPr>
          <w:lang w:val="fr-FR"/>
        </w:rPr>
        <w:t>un système de santé publique assurant une couverture universelle n</w:t>
      </w:r>
      <w:r w:rsidR="00A66252" w:rsidRPr="00A66252">
        <w:rPr>
          <w:lang w:val="fr-FR"/>
        </w:rPr>
        <w:t>’</w:t>
      </w:r>
      <w:r w:rsidRPr="00A66252">
        <w:rPr>
          <w:lang w:val="fr-FR"/>
        </w:rPr>
        <w:t>était pas établie (Conclusions 2013, Géorgie).</w:t>
      </w:r>
    </w:p>
    <w:p w:rsidR="00F35CCE" w:rsidRPr="00A66252" w:rsidRDefault="00F35CCE" w:rsidP="00A66252">
      <w:pPr>
        <w:pStyle w:val="ECHRParaQuote"/>
        <w:rPr>
          <w:lang w:val="fr-FR"/>
        </w:rPr>
      </w:pPr>
      <w:r w:rsidRPr="00A66252">
        <w:rPr>
          <w:lang w:val="fr-FR"/>
        </w:rPr>
        <w:t>Le Comité rappelle que le système de soins doit être accessible à toute la population. Le droit à l</w:t>
      </w:r>
      <w:r w:rsidR="00A66252" w:rsidRPr="00A66252">
        <w:rPr>
          <w:lang w:val="fr-FR"/>
        </w:rPr>
        <w:t>’</w:t>
      </w:r>
      <w:r w:rsidRPr="00A66252">
        <w:rPr>
          <w:lang w:val="fr-FR"/>
        </w:rPr>
        <w:t>accès aux soins de santé exige notamment que le coût des soins de santé soit à la charge, à tout le moins partiellement, de la collectivité dans son ensemble (Conclusions I, 1969, Observation interprétative relative à l</w:t>
      </w:r>
      <w:r w:rsidR="00A66252" w:rsidRPr="00A66252">
        <w:rPr>
          <w:lang w:val="fr-FR"/>
        </w:rPr>
        <w:t>’</w:t>
      </w:r>
      <w:r w:rsidRPr="00A66252">
        <w:rPr>
          <w:lang w:val="fr-FR"/>
        </w:rPr>
        <w:t>article 11) et ne représente pas une charge excessive pour l</w:t>
      </w:r>
      <w:r w:rsidR="00A66252" w:rsidRPr="00A66252">
        <w:rPr>
          <w:lang w:val="fr-FR"/>
        </w:rPr>
        <w:t>’</w:t>
      </w:r>
      <w:r w:rsidRPr="00A66252">
        <w:rPr>
          <w:lang w:val="fr-FR"/>
        </w:rPr>
        <w:t>individu concerné. Les paiements directs ne doivent pas constituer la principale source de financement du système de san</w:t>
      </w:r>
      <w:r w:rsidR="00611D83" w:rsidRPr="00A66252">
        <w:rPr>
          <w:lang w:val="fr-FR"/>
        </w:rPr>
        <w:t>té (Conclusions 2013, Géorgie).</w:t>
      </w:r>
    </w:p>
    <w:p w:rsidR="00F35CCE" w:rsidRPr="00A66252" w:rsidRDefault="00F35CCE" w:rsidP="00A66252">
      <w:pPr>
        <w:pStyle w:val="ECHRParaQuote"/>
        <w:rPr>
          <w:lang w:val="fr-FR"/>
        </w:rPr>
      </w:pPr>
      <w:r w:rsidRPr="00A66252">
        <w:rPr>
          <w:lang w:val="fr-FR"/>
        </w:rPr>
        <w:t>Le rapport fait état de la mise en place, le 28 février 2013, d</w:t>
      </w:r>
      <w:r w:rsidR="00A66252" w:rsidRPr="00A66252">
        <w:rPr>
          <w:lang w:val="fr-FR"/>
        </w:rPr>
        <w:t>’</w:t>
      </w:r>
      <w:r w:rsidRPr="00A66252">
        <w:rPr>
          <w:lang w:val="fr-FR"/>
        </w:rPr>
        <w:t>une couverture maladie universelle destinée à celles et ceux qui n</w:t>
      </w:r>
      <w:r w:rsidR="00A66252" w:rsidRPr="00A66252">
        <w:rPr>
          <w:lang w:val="fr-FR"/>
        </w:rPr>
        <w:t>’</w:t>
      </w:r>
      <w:r w:rsidRPr="00A66252">
        <w:rPr>
          <w:lang w:val="fr-FR"/>
        </w:rPr>
        <w:t>ont pas d</w:t>
      </w:r>
      <w:r w:rsidR="00A66252" w:rsidRPr="00A66252">
        <w:rPr>
          <w:lang w:val="fr-FR"/>
        </w:rPr>
        <w:t>’</w:t>
      </w:r>
      <w:r w:rsidRPr="00A66252">
        <w:rPr>
          <w:lang w:val="fr-FR"/>
        </w:rPr>
        <w:t>assurance maladie. Dans un premier temps, elle a consisté en une couverture médicale de base, comprenant les soins de santé primaire et l</w:t>
      </w:r>
      <w:r w:rsidR="00A66252" w:rsidRPr="00A66252">
        <w:rPr>
          <w:lang w:val="fr-FR"/>
        </w:rPr>
        <w:t>’</w:t>
      </w:r>
      <w:r w:rsidRPr="00A66252">
        <w:rPr>
          <w:lang w:val="fr-FR"/>
        </w:rPr>
        <w:t>hospitalisation d</w:t>
      </w:r>
      <w:r w:rsidR="00A66252" w:rsidRPr="00A66252">
        <w:rPr>
          <w:lang w:val="fr-FR"/>
        </w:rPr>
        <w:t>’</w:t>
      </w:r>
      <w:r w:rsidRPr="00A66252">
        <w:rPr>
          <w:lang w:val="fr-FR"/>
        </w:rPr>
        <w:t>urgence. Depuis le 1er juillet 2013, elle a été élargie à un plus grand nombre de services de soins de santé primaire et d</w:t>
      </w:r>
      <w:r w:rsidR="00A66252" w:rsidRPr="00A66252">
        <w:rPr>
          <w:lang w:val="fr-FR"/>
        </w:rPr>
        <w:t>’</w:t>
      </w:r>
      <w:r w:rsidRPr="00A66252">
        <w:rPr>
          <w:lang w:val="fr-FR"/>
        </w:rPr>
        <w:t>hospitalisation d</w:t>
      </w:r>
      <w:r w:rsidR="00A66252" w:rsidRPr="00A66252">
        <w:rPr>
          <w:lang w:val="fr-FR"/>
        </w:rPr>
        <w:t>’</w:t>
      </w:r>
      <w:r w:rsidRPr="00A66252">
        <w:rPr>
          <w:lang w:val="fr-FR"/>
        </w:rPr>
        <w:t>urgence, aux soins ambulatoires d</w:t>
      </w:r>
      <w:r w:rsidR="00A66252" w:rsidRPr="00A66252">
        <w:rPr>
          <w:lang w:val="fr-FR"/>
        </w:rPr>
        <w:t>’</w:t>
      </w:r>
      <w:r w:rsidRPr="00A66252">
        <w:rPr>
          <w:lang w:val="fr-FR"/>
        </w:rPr>
        <w:t>urgence, aux opérations chirurgicales planifiées, au traitement des maladies oncologiques et à soins dispensés lors d</w:t>
      </w:r>
      <w:r w:rsidR="00A66252" w:rsidRPr="00A66252">
        <w:rPr>
          <w:lang w:val="fr-FR"/>
        </w:rPr>
        <w:t>’</w:t>
      </w:r>
      <w:r w:rsidRPr="00A66252">
        <w:rPr>
          <w:lang w:val="fr-FR"/>
        </w:rPr>
        <w:t>un accouchement. Selon des données récentes (avril 2014), tous les citoyens géorgiens bénéficient à présent d</w:t>
      </w:r>
      <w:r w:rsidR="00A66252" w:rsidRPr="00A66252">
        <w:rPr>
          <w:lang w:val="fr-FR"/>
        </w:rPr>
        <w:t>’</w:t>
      </w:r>
      <w:r w:rsidRPr="00A66252">
        <w:rPr>
          <w:lang w:val="fr-FR"/>
        </w:rPr>
        <w:t>une couvertur</w:t>
      </w:r>
      <w:r w:rsidR="00611D83" w:rsidRPr="00A66252">
        <w:rPr>
          <w:lang w:val="fr-FR"/>
        </w:rPr>
        <w:t>e maladie de base – environ 3,4 </w:t>
      </w:r>
      <w:r w:rsidRPr="00A66252">
        <w:rPr>
          <w:lang w:val="fr-FR"/>
        </w:rPr>
        <w:t>millions de personnes dans le cadre de la couvertu</w:t>
      </w:r>
      <w:r w:rsidR="00611D83" w:rsidRPr="00A66252">
        <w:rPr>
          <w:lang w:val="fr-FR"/>
        </w:rPr>
        <w:t>re maladie universelle, 560 000 </w:t>
      </w:r>
      <w:r w:rsidRPr="00A66252">
        <w:rPr>
          <w:lang w:val="fr-FR"/>
        </w:rPr>
        <w:t>personnes dans le cadre du régime d</w:t>
      </w:r>
      <w:r w:rsidR="00A66252" w:rsidRPr="00A66252">
        <w:rPr>
          <w:lang w:val="fr-FR"/>
        </w:rPr>
        <w:t>’</w:t>
      </w:r>
      <w:r w:rsidRPr="00A66252">
        <w:rPr>
          <w:lang w:val="fr-FR"/>
        </w:rPr>
        <w:t>assurance-maladie de l</w:t>
      </w:r>
      <w:r w:rsidR="00A66252" w:rsidRPr="00A66252">
        <w:rPr>
          <w:lang w:val="fr-FR"/>
        </w:rPr>
        <w:t>’</w:t>
      </w:r>
      <w:r w:rsidR="00800622" w:rsidRPr="00A66252">
        <w:rPr>
          <w:lang w:val="fr-FR"/>
        </w:rPr>
        <w:t>É</w:t>
      </w:r>
      <w:r w:rsidRPr="00A66252">
        <w:rPr>
          <w:lang w:val="fr-FR"/>
        </w:rPr>
        <w:t>tat et environ 546 000 personnes dans le cadre d</w:t>
      </w:r>
      <w:r w:rsidR="00A66252" w:rsidRPr="00A66252">
        <w:rPr>
          <w:lang w:val="fr-FR"/>
        </w:rPr>
        <w:t>’</w:t>
      </w:r>
      <w:r w:rsidRPr="00A66252">
        <w:rPr>
          <w:lang w:val="fr-FR"/>
        </w:rPr>
        <w:t>une assurance privée ou d</w:t>
      </w:r>
      <w:r w:rsidR="00A66252" w:rsidRPr="00A66252">
        <w:rPr>
          <w:lang w:val="fr-FR"/>
        </w:rPr>
        <w:t>’</w:t>
      </w:r>
      <w:r w:rsidRPr="00A66252">
        <w:rPr>
          <w:lang w:val="fr-FR"/>
        </w:rPr>
        <w:t>une assurance d</w:t>
      </w:r>
      <w:r w:rsidR="00A66252" w:rsidRPr="00A66252">
        <w:rPr>
          <w:lang w:val="fr-FR"/>
        </w:rPr>
        <w:t>’</w:t>
      </w:r>
      <w:r w:rsidR="00611D83" w:rsidRPr="00A66252">
        <w:rPr>
          <w:lang w:val="fr-FR"/>
        </w:rPr>
        <w:t>entreprise.</w:t>
      </w:r>
    </w:p>
    <w:p w:rsidR="00A66252" w:rsidRPr="00A66252" w:rsidRDefault="00F35CCE" w:rsidP="00A66252">
      <w:pPr>
        <w:pStyle w:val="ECHRParaQuote"/>
        <w:rPr>
          <w:lang w:val="fr-FR"/>
        </w:rPr>
      </w:pPr>
      <w:r w:rsidRPr="00A66252">
        <w:rPr>
          <w:lang w:val="fr-FR"/>
        </w:rPr>
        <w:t>Le Comité note que le Gouvernement a fait des soins de santé un domaine prioritaire et a ainsi quasiment doublé les crédits alloués aux programmes de soins de santé publique (634 millions de GEL en 2013, contre 365 millio</w:t>
      </w:r>
      <w:r w:rsidR="00800622" w:rsidRPr="00A66252">
        <w:rPr>
          <w:lang w:val="fr-FR"/>
        </w:rPr>
        <w:t>ns en 2012). Les dépenses de l</w:t>
      </w:r>
      <w:r w:rsidR="00A66252" w:rsidRPr="00A66252">
        <w:rPr>
          <w:lang w:val="fr-FR"/>
        </w:rPr>
        <w:t>’</w:t>
      </w:r>
      <w:r w:rsidR="00800622" w:rsidRPr="00A66252">
        <w:rPr>
          <w:lang w:val="fr-FR"/>
        </w:rPr>
        <w:t>É</w:t>
      </w:r>
      <w:r w:rsidRPr="00A66252">
        <w:rPr>
          <w:lang w:val="fr-FR"/>
        </w:rPr>
        <w:t>tat consacrées à la santé sont passées de 1,7</w:t>
      </w:r>
      <w:r w:rsidR="00611D83" w:rsidRPr="00A66252">
        <w:rPr>
          <w:lang w:val="fr-FR"/>
        </w:rPr>
        <w:t> </w:t>
      </w:r>
      <w:r w:rsidRPr="00A66252">
        <w:rPr>
          <w:lang w:val="fr-FR"/>
        </w:rPr>
        <w:t>% à 2,7</w:t>
      </w:r>
      <w:r w:rsidR="00611D83" w:rsidRPr="00A66252">
        <w:rPr>
          <w:lang w:val="fr-FR"/>
        </w:rPr>
        <w:t> </w:t>
      </w:r>
      <w:r w:rsidRPr="00A66252">
        <w:rPr>
          <w:lang w:val="fr-FR"/>
        </w:rPr>
        <w:t xml:space="preserve">% du PIB, </w:t>
      </w:r>
      <w:r w:rsidR="00800622" w:rsidRPr="00A66252">
        <w:rPr>
          <w:lang w:val="fr-FR"/>
        </w:rPr>
        <w:t>et de 5</w:t>
      </w:r>
      <w:r w:rsidR="00611D83" w:rsidRPr="00A66252">
        <w:rPr>
          <w:lang w:val="fr-FR"/>
        </w:rPr>
        <w:t> </w:t>
      </w:r>
      <w:r w:rsidR="00800622" w:rsidRPr="00A66252">
        <w:rPr>
          <w:lang w:val="fr-FR"/>
        </w:rPr>
        <w:t>% à 9</w:t>
      </w:r>
      <w:r w:rsidR="00611D83" w:rsidRPr="00A66252">
        <w:rPr>
          <w:lang w:val="fr-FR"/>
        </w:rPr>
        <w:t> </w:t>
      </w:r>
      <w:r w:rsidR="00800622" w:rsidRPr="00A66252">
        <w:rPr>
          <w:lang w:val="fr-FR"/>
        </w:rPr>
        <w:t>% du budget de l</w:t>
      </w:r>
      <w:r w:rsidR="00A66252" w:rsidRPr="00A66252">
        <w:rPr>
          <w:lang w:val="fr-FR"/>
        </w:rPr>
        <w:t>’</w:t>
      </w:r>
      <w:r w:rsidR="00800622" w:rsidRPr="00A66252">
        <w:rPr>
          <w:lang w:val="fr-FR"/>
        </w:rPr>
        <w:t>É</w:t>
      </w:r>
      <w:r w:rsidRPr="00A66252">
        <w:rPr>
          <w:lang w:val="fr-FR"/>
        </w:rPr>
        <w:t>tat.</w:t>
      </w:r>
    </w:p>
    <w:p w:rsidR="00A66252" w:rsidRPr="00A66252" w:rsidRDefault="00F35CCE" w:rsidP="00A66252">
      <w:pPr>
        <w:pStyle w:val="ECHRParaQuote"/>
        <w:rPr>
          <w:lang w:val="fr-FR"/>
        </w:rPr>
      </w:pPr>
      <w:r w:rsidRPr="00A66252">
        <w:rPr>
          <w:lang w:val="fr-FR"/>
        </w:rPr>
        <w:lastRenderedPageBreak/>
        <w:t>Le Gouvernement reconnaît néanmoins que, malgré quelques améliorations, le coût des médicaments demeure élevé puisqu</w:t>
      </w:r>
      <w:r w:rsidR="00A66252" w:rsidRPr="00A66252">
        <w:rPr>
          <w:lang w:val="fr-FR"/>
        </w:rPr>
        <w:t>’</w:t>
      </w:r>
      <w:r w:rsidRPr="00A66252">
        <w:rPr>
          <w:lang w:val="fr-FR"/>
        </w:rPr>
        <w:t>il représente 35</w:t>
      </w:r>
      <w:r w:rsidR="00611D83" w:rsidRPr="00A66252">
        <w:rPr>
          <w:lang w:val="fr-FR"/>
        </w:rPr>
        <w:t> </w:t>
      </w:r>
      <w:r w:rsidRPr="00A66252">
        <w:rPr>
          <w:lang w:val="fr-FR"/>
        </w:rPr>
        <w:t>% des dépenses publiques affectées à la santé. Le rapport ne contient pas d</w:t>
      </w:r>
      <w:r w:rsidR="00A66252" w:rsidRPr="00A66252">
        <w:rPr>
          <w:lang w:val="fr-FR"/>
        </w:rPr>
        <w:t>’</w:t>
      </w:r>
      <w:r w:rsidRPr="00A66252">
        <w:rPr>
          <w:lang w:val="fr-FR"/>
        </w:rPr>
        <w:t>informations sur les frais à la charge des patients en pourcentage des dépenses totales de soins santé, mais, selon les données de l</w:t>
      </w:r>
      <w:r w:rsidR="00A66252" w:rsidRPr="00A66252">
        <w:rPr>
          <w:lang w:val="fr-FR"/>
        </w:rPr>
        <w:t>’</w:t>
      </w:r>
      <w:r w:rsidRPr="00A66252">
        <w:rPr>
          <w:lang w:val="fr-FR"/>
        </w:rPr>
        <w:t>OMS, ils représentaient toujours entre 60</w:t>
      </w:r>
      <w:r w:rsidR="00611D83" w:rsidRPr="00A66252">
        <w:rPr>
          <w:lang w:val="fr-FR"/>
        </w:rPr>
        <w:t> </w:t>
      </w:r>
      <w:r w:rsidRPr="00A66252">
        <w:rPr>
          <w:lang w:val="fr-FR"/>
        </w:rPr>
        <w:t>% et 70</w:t>
      </w:r>
      <w:r w:rsidR="00611D83" w:rsidRPr="00A66252">
        <w:rPr>
          <w:lang w:val="fr-FR"/>
        </w:rPr>
        <w:t> </w:t>
      </w:r>
      <w:r w:rsidRPr="00A66252">
        <w:rPr>
          <w:lang w:val="fr-FR"/>
        </w:rPr>
        <w:t>% en 2011 (contre environ 16</w:t>
      </w:r>
      <w:r w:rsidR="00611D83" w:rsidRPr="00A66252">
        <w:rPr>
          <w:lang w:val="fr-FR"/>
        </w:rPr>
        <w:t> </w:t>
      </w:r>
      <w:r w:rsidRPr="00A66252">
        <w:rPr>
          <w:lang w:val="fr-FR"/>
        </w:rPr>
        <w:t>% en moyenne dans l</w:t>
      </w:r>
      <w:r w:rsidR="00A66252" w:rsidRPr="00A66252">
        <w:rPr>
          <w:lang w:val="fr-FR"/>
        </w:rPr>
        <w:t>’</w:t>
      </w:r>
      <w:r w:rsidRPr="00A66252">
        <w:rPr>
          <w:lang w:val="fr-FR"/>
        </w:rPr>
        <w:t>Union européenne à 27). La couverture maladie universelle prend maintenant en charge une part très modeste du coût des médicaments, notamment pour les soins d</w:t>
      </w:r>
      <w:r w:rsidR="00A66252" w:rsidRPr="00A66252">
        <w:rPr>
          <w:lang w:val="fr-FR"/>
        </w:rPr>
        <w:t>’</w:t>
      </w:r>
      <w:r w:rsidRPr="00A66252">
        <w:rPr>
          <w:lang w:val="fr-FR"/>
        </w:rPr>
        <w:t>urgence, la chimiothérapie et la radiothérapie. Cependant, selon une évaluation récente (Couverture maladie universelle, évaluation menée par le Projet de renforcement du système de santé de l</w:t>
      </w:r>
      <w:r w:rsidR="00A66252" w:rsidRPr="00A66252">
        <w:rPr>
          <w:lang w:val="fr-FR"/>
        </w:rPr>
        <w:t>’</w:t>
      </w:r>
      <w:r w:rsidRPr="00A66252">
        <w:rPr>
          <w:lang w:val="fr-FR"/>
        </w:rPr>
        <w:t>USAID, avril 2014), le fait que les médicaments ne soient généralement pas pris en charge mécontente au plus haut point les bénéficiaires du régime. Le Comité prend note des exemples fournis par le Gouvernement concernant la prise en charge de certains médicaments par le r</w:t>
      </w:r>
      <w:r w:rsidR="00800622" w:rsidRPr="00A66252">
        <w:rPr>
          <w:lang w:val="fr-FR"/>
        </w:rPr>
        <w:t>égime d</w:t>
      </w:r>
      <w:r w:rsidR="00A66252" w:rsidRPr="00A66252">
        <w:rPr>
          <w:lang w:val="fr-FR"/>
        </w:rPr>
        <w:t>’</w:t>
      </w:r>
      <w:r w:rsidR="00800622" w:rsidRPr="00A66252">
        <w:rPr>
          <w:lang w:val="fr-FR"/>
        </w:rPr>
        <w:t>assurance-maladie de l</w:t>
      </w:r>
      <w:r w:rsidR="00A66252" w:rsidRPr="00A66252">
        <w:rPr>
          <w:lang w:val="fr-FR"/>
        </w:rPr>
        <w:t>’</w:t>
      </w:r>
      <w:r w:rsidR="00800622" w:rsidRPr="00A66252">
        <w:rPr>
          <w:lang w:val="fr-FR"/>
        </w:rPr>
        <w:t>É</w:t>
      </w:r>
      <w:r w:rsidRPr="00A66252">
        <w:rPr>
          <w:lang w:val="fr-FR"/>
        </w:rPr>
        <w:t>tat.</w:t>
      </w:r>
    </w:p>
    <w:p w:rsidR="00A66252" w:rsidRPr="00A66252" w:rsidRDefault="00F35CCE" w:rsidP="00A66252">
      <w:pPr>
        <w:pStyle w:val="ECHRParaQuote"/>
        <w:rPr>
          <w:lang w:val="fr-FR"/>
        </w:rPr>
      </w:pPr>
      <w:r w:rsidRPr="00A66252">
        <w:rPr>
          <w:lang w:val="fr-FR"/>
        </w:rPr>
        <w:t>Le rapport fait valoir que, depuis les mesures de déréglementation, le marché pharmaceutique est devenu libre et concurrentiel. Néanmoins, rien ne semble indiquer que le prix des médicaments soit devenu globalement plus accessible, notamment pour les catégories vulnérables de la population et pour les patients atteints d</w:t>
      </w:r>
      <w:r w:rsidR="00A66252" w:rsidRPr="00A66252">
        <w:rPr>
          <w:lang w:val="fr-FR"/>
        </w:rPr>
        <w:t>’</w:t>
      </w:r>
      <w:r w:rsidRPr="00A66252">
        <w:rPr>
          <w:lang w:val="fr-FR"/>
        </w:rPr>
        <w:t>une affection chronique.</w:t>
      </w:r>
    </w:p>
    <w:p w:rsidR="00A66252" w:rsidRPr="00A66252" w:rsidRDefault="00F35CCE" w:rsidP="00A66252">
      <w:pPr>
        <w:pStyle w:val="ECHRParaQuote"/>
        <w:rPr>
          <w:lang w:val="fr-FR"/>
        </w:rPr>
      </w:pPr>
      <w:r w:rsidRPr="00A66252">
        <w:rPr>
          <w:lang w:val="fr-FR"/>
        </w:rPr>
        <w:t>Si le Comité considère que le régime de couverture maladie universelle est une avancée positive et constate que la part des paiements directs dans le financement du système de santé s</w:t>
      </w:r>
      <w:r w:rsidR="00A66252" w:rsidRPr="00A66252">
        <w:rPr>
          <w:lang w:val="fr-FR"/>
        </w:rPr>
        <w:t>’</w:t>
      </w:r>
      <w:r w:rsidRPr="00A66252">
        <w:rPr>
          <w:lang w:val="fr-FR"/>
        </w:rPr>
        <w:t>est un peu réduite, il demeure convaincu que la forte proportion de dépenses qui revient aux patients, et en particulier le coût élevé des médicaments, représentent une charge trop lourde pour les individus et constituent de ce fait un obstacle à l</w:t>
      </w:r>
      <w:r w:rsidR="00A66252" w:rsidRPr="00A66252">
        <w:rPr>
          <w:lang w:val="fr-FR"/>
        </w:rPr>
        <w:t>’</w:t>
      </w:r>
      <w:r w:rsidRPr="00A66252">
        <w:rPr>
          <w:lang w:val="fr-FR"/>
        </w:rPr>
        <w:t>accès universel aux soins de santé. Il estime par conséquent que la situation n</w:t>
      </w:r>
      <w:r w:rsidR="00A66252" w:rsidRPr="00A66252">
        <w:rPr>
          <w:lang w:val="fr-FR"/>
        </w:rPr>
        <w:t>’</w:t>
      </w:r>
      <w:r w:rsidRPr="00A66252">
        <w:rPr>
          <w:lang w:val="fr-FR"/>
        </w:rPr>
        <w:t>est pas conforme à la Charte.</w:t>
      </w:r>
    </w:p>
    <w:p w:rsidR="00F35CCE" w:rsidRPr="00A66252" w:rsidRDefault="00611D83" w:rsidP="00A66252">
      <w:pPr>
        <w:pStyle w:val="ECHRParaQuote"/>
        <w:rPr>
          <w:lang w:val="fr-FR"/>
        </w:rPr>
      </w:pPr>
      <w:r w:rsidRPr="00A66252">
        <w:rPr>
          <w:i/>
          <w:iCs/>
          <w:lang w:val="fr-FR"/>
        </w:rPr>
        <w:t>Conclusion</w:t>
      </w:r>
    </w:p>
    <w:p w:rsidR="00F35CCE" w:rsidRPr="00A66252" w:rsidRDefault="00F35CCE" w:rsidP="00A66252">
      <w:pPr>
        <w:pStyle w:val="ECHRParaQuote"/>
        <w:rPr>
          <w:lang w:val="fr-FR"/>
        </w:rPr>
      </w:pPr>
      <w:r w:rsidRPr="00A66252">
        <w:rPr>
          <w:lang w:val="fr-FR"/>
        </w:rPr>
        <w:t>Le Comité conclut que la situation de la Géorgie n</w:t>
      </w:r>
      <w:r w:rsidR="00A66252" w:rsidRPr="00A66252">
        <w:rPr>
          <w:lang w:val="fr-FR"/>
        </w:rPr>
        <w:t>’</w:t>
      </w:r>
      <w:r w:rsidRPr="00A66252">
        <w:rPr>
          <w:lang w:val="fr-FR"/>
        </w:rPr>
        <w:t>est pas conforme à l</w:t>
      </w:r>
      <w:r w:rsidR="00A66252" w:rsidRPr="00A66252">
        <w:rPr>
          <w:lang w:val="fr-FR"/>
        </w:rPr>
        <w:t>’</w:t>
      </w:r>
      <w:r w:rsidRPr="00A66252">
        <w:rPr>
          <w:lang w:val="fr-FR"/>
        </w:rPr>
        <w:t>article 11</w:t>
      </w:r>
      <w:r w:rsidR="00472AB3" w:rsidRPr="00A66252">
        <w:rPr>
          <w:lang w:val="fr-FR"/>
        </w:rPr>
        <w:t xml:space="preserve"> </w:t>
      </w:r>
      <w:r w:rsidRPr="00A66252">
        <w:rPr>
          <w:lang w:val="fr-FR"/>
        </w:rPr>
        <w:t>§</w:t>
      </w:r>
      <w:r w:rsidR="00B32D6C" w:rsidRPr="00A66252">
        <w:rPr>
          <w:lang w:val="fr-FR"/>
        </w:rPr>
        <w:t> </w:t>
      </w:r>
      <w:r w:rsidRPr="00A66252">
        <w:rPr>
          <w:lang w:val="fr-FR"/>
        </w:rPr>
        <w:t>1 de la Charte, au motif que les paiements directs en général et le coût des médicaments en particulier représentent une charge trop lourde pour les individus et font de ce fait obstacle à l</w:t>
      </w:r>
      <w:r w:rsidR="00A66252" w:rsidRPr="00A66252">
        <w:rPr>
          <w:lang w:val="fr-FR"/>
        </w:rPr>
        <w:t>’</w:t>
      </w:r>
      <w:r w:rsidRPr="00A66252">
        <w:rPr>
          <w:lang w:val="fr-FR"/>
        </w:rPr>
        <w:t>accès universel aux soins de santé.</w:t>
      </w:r>
      <w:r w:rsidR="00215980" w:rsidRPr="00A66252">
        <w:rPr>
          <w:lang w:val="fr-FR"/>
        </w:rPr>
        <w:t> »</w:t>
      </w:r>
    </w:p>
    <w:p w:rsidR="0000076E" w:rsidRPr="00A66252" w:rsidRDefault="0000076E" w:rsidP="00A66252">
      <w:pPr>
        <w:pStyle w:val="ECHRTitle1"/>
        <w:rPr>
          <w:lang w:val="fr-FR"/>
        </w:rPr>
      </w:pPr>
      <w:r w:rsidRPr="00A66252">
        <w:rPr>
          <w:lang w:val="fr-FR"/>
        </w:rPr>
        <w:t>EN DROIT</w:t>
      </w:r>
    </w:p>
    <w:p w:rsidR="00A66252" w:rsidRPr="00A66252" w:rsidRDefault="00F91AEA" w:rsidP="00A66252">
      <w:pPr>
        <w:pStyle w:val="ECHRHeading1"/>
        <w:rPr>
          <w:lang w:val="fr-FR"/>
        </w:rPr>
      </w:pPr>
      <w:r w:rsidRPr="00A66252">
        <w:rPr>
          <w:lang w:val="fr-FR"/>
        </w:rPr>
        <w:t>I.  QUESTIONS PRELIMINAIRES</w:t>
      </w:r>
    </w:p>
    <w:p w:rsidR="00FF01A8" w:rsidRPr="00A66252" w:rsidRDefault="00F91AEA"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124</w:t>
      </w:r>
      <w:r w:rsidRPr="00A66252">
        <w:fldChar w:fldCharType="end"/>
      </w:r>
      <w:r w:rsidRPr="00A66252">
        <w:rPr>
          <w:lang w:val="fr-FR"/>
        </w:rPr>
        <w:t>.  </w:t>
      </w:r>
      <w:r w:rsidR="00FF01A8" w:rsidRPr="00A66252">
        <w:rPr>
          <w:lang w:val="fr-FR"/>
        </w:rPr>
        <w:t xml:space="preserve">À la suite du décès du requérant, ses proches ont exprimé le souhait de poursuivre </w:t>
      </w:r>
      <w:r w:rsidR="00FB0877" w:rsidRPr="00A66252">
        <w:rPr>
          <w:lang w:val="fr-FR"/>
        </w:rPr>
        <w:t>la procédure</w:t>
      </w:r>
      <w:r w:rsidR="002B68BA" w:rsidRPr="00A66252">
        <w:rPr>
          <w:lang w:val="fr-FR"/>
        </w:rPr>
        <w:t xml:space="preserve"> (</w:t>
      </w:r>
      <w:r w:rsidR="00F67322" w:rsidRPr="00A66252">
        <w:rPr>
          <w:lang w:val="fr-FR"/>
        </w:rPr>
        <w:t xml:space="preserve">voir </w:t>
      </w:r>
      <w:r w:rsidR="002B68BA" w:rsidRPr="00A66252">
        <w:rPr>
          <w:lang w:val="fr-FR"/>
        </w:rPr>
        <w:t>paragraphe 1</w:t>
      </w:r>
      <w:r w:rsidR="00F67322" w:rsidRPr="00A66252">
        <w:rPr>
          <w:lang w:val="fr-FR"/>
        </w:rPr>
        <w:t>,</w:t>
      </w:r>
      <w:r w:rsidR="002B68BA" w:rsidRPr="00A66252">
        <w:rPr>
          <w:lang w:val="fr-FR"/>
        </w:rPr>
        <w:t xml:space="preserve"> ci-dessus)</w:t>
      </w:r>
      <w:r w:rsidR="00FB0877" w:rsidRPr="00A66252">
        <w:rPr>
          <w:lang w:val="fr-FR"/>
        </w:rPr>
        <w:t>.</w:t>
      </w:r>
    </w:p>
    <w:p w:rsidR="00FB0877" w:rsidRPr="00A66252" w:rsidRDefault="00FB087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125</w:t>
      </w:r>
      <w:r w:rsidRPr="00A66252">
        <w:rPr>
          <w:lang w:val="fr-FR"/>
        </w:rPr>
        <w:fldChar w:fldCharType="end"/>
      </w:r>
      <w:r w:rsidRPr="00A66252">
        <w:rPr>
          <w:lang w:val="fr-FR"/>
        </w:rPr>
        <w:t xml:space="preserve">.  Le Gouvernement </w:t>
      </w:r>
      <w:r w:rsidR="00F67322" w:rsidRPr="00A66252">
        <w:rPr>
          <w:lang w:val="fr-FR"/>
        </w:rPr>
        <w:t xml:space="preserve">défendeur </w:t>
      </w:r>
      <w:r w:rsidRPr="00A66252">
        <w:rPr>
          <w:lang w:val="fr-FR"/>
        </w:rPr>
        <w:t>n</w:t>
      </w:r>
      <w:r w:rsidR="00A66252" w:rsidRPr="00A66252">
        <w:rPr>
          <w:lang w:val="fr-FR"/>
        </w:rPr>
        <w:t>’</w:t>
      </w:r>
      <w:r w:rsidRPr="00A66252">
        <w:rPr>
          <w:lang w:val="fr-FR"/>
        </w:rPr>
        <w:t>a pas soumis d</w:t>
      </w:r>
      <w:r w:rsidR="00A66252" w:rsidRPr="00A66252">
        <w:rPr>
          <w:lang w:val="fr-FR"/>
        </w:rPr>
        <w:t>’</w:t>
      </w:r>
      <w:r w:rsidRPr="00A66252">
        <w:rPr>
          <w:lang w:val="fr-FR"/>
        </w:rPr>
        <w:t>observations sur ce point.</w:t>
      </w:r>
    </w:p>
    <w:p w:rsidR="00070476" w:rsidRPr="00A66252" w:rsidRDefault="00070476" w:rsidP="00A66252">
      <w:pPr>
        <w:pStyle w:val="ECHRPara"/>
        <w:rPr>
          <w:i/>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126</w:t>
      </w:r>
      <w:r w:rsidRPr="00A66252">
        <w:rPr>
          <w:lang w:val="fr-FR"/>
        </w:rPr>
        <w:fldChar w:fldCharType="end"/>
      </w:r>
      <w:r w:rsidRPr="00A66252">
        <w:rPr>
          <w:lang w:val="fr-FR"/>
        </w:rPr>
        <w:t>.  Dans les cas où le requérant originaire décède après l</w:t>
      </w:r>
      <w:r w:rsidR="00A66252" w:rsidRPr="00A66252">
        <w:rPr>
          <w:lang w:val="fr-FR"/>
        </w:rPr>
        <w:t>’</w:t>
      </w:r>
      <w:r w:rsidRPr="00A66252">
        <w:rPr>
          <w:lang w:val="fr-FR"/>
        </w:rPr>
        <w:t>introduction de la requête, la Cour autorise normalement les proches de l</w:t>
      </w:r>
      <w:r w:rsidR="00A66252" w:rsidRPr="00A66252">
        <w:rPr>
          <w:lang w:val="fr-FR"/>
        </w:rPr>
        <w:t>’</w:t>
      </w:r>
      <w:r w:rsidRPr="00A66252">
        <w:rPr>
          <w:lang w:val="fr-FR"/>
        </w:rPr>
        <w:t>intéressé à poursuivre la procédure, à condition qu</w:t>
      </w:r>
      <w:r w:rsidR="00A66252" w:rsidRPr="00A66252">
        <w:rPr>
          <w:lang w:val="fr-FR"/>
        </w:rPr>
        <w:t>’</w:t>
      </w:r>
      <w:r w:rsidRPr="00A66252">
        <w:rPr>
          <w:lang w:val="fr-FR"/>
        </w:rPr>
        <w:t>ils aient un intérêt légitime à le faire (</w:t>
      </w:r>
      <w:proofErr w:type="spellStart"/>
      <w:r w:rsidRPr="00A66252">
        <w:rPr>
          <w:i/>
          <w:lang w:val="fr-FR"/>
        </w:rPr>
        <w:t>Malhous</w:t>
      </w:r>
      <w:proofErr w:type="spellEnd"/>
      <w:r w:rsidRPr="00A66252">
        <w:rPr>
          <w:i/>
          <w:lang w:val="fr-FR"/>
        </w:rPr>
        <w:t xml:space="preserve"> c. République tchèque</w:t>
      </w:r>
      <w:r w:rsidRPr="00A66252">
        <w:rPr>
          <w:lang w:val="fr-FR"/>
        </w:rPr>
        <w:t xml:space="preserve"> (déc.) [GC], n</w:t>
      </w:r>
      <w:r w:rsidR="009472B8" w:rsidRPr="00A66252">
        <w:rPr>
          <w:vertAlign w:val="superscript"/>
          <w:lang w:val="fr-FR"/>
        </w:rPr>
        <w:t>o</w:t>
      </w:r>
      <w:r w:rsidRPr="00A66252">
        <w:rPr>
          <w:lang w:val="fr-FR"/>
        </w:rPr>
        <w:t>33071/96, CEDH 2000</w:t>
      </w:r>
      <w:r w:rsidRPr="00A66252">
        <w:rPr>
          <w:rFonts w:ascii="MS Mincho" w:eastAsia="MS Mincho" w:hAnsi="MS Mincho" w:cs="MS Mincho"/>
          <w:lang w:val="fr-FR"/>
        </w:rPr>
        <w:t>‑</w:t>
      </w:r>
      <w:r w:rsidRPr="00A66252">
        <w:rPr>
          <w:lang w:val="fr-FR"/>
        </w:rPr>
        <w:t xml:space="preserve">XII, et </w:t>
      </w:r>
      <w:r w:rsidRPr="00A66252">
        <w:rPr>
          <w:i/>
          <w:lang w:val="fr-FR"/>
        </w:rPr>
        <w:t xml:space="preserve">Murray c. Pays-Bas </w:t>
      </w:r>
      <w:r w:rsidRPr="00A66252">
        <w:rPr>
          <w:lang w:val="fr-FR"/>
        </w:rPr>
        <w:t>[GC]</w:t>
      </w:r>
      <w:r w:rsidRPr="00A66252">
        <w:rPr>
          <w:snapToGrid w:val="0"/>
          <w:lang w:val="fr-FR"/>
        </w:rPr>
        <w:t xml:space="preserve">, </w:t>
      </w:r>
      <w:r w:rsidRPr="00A66252">
        <w:rPr>
          <w:lang w:val="fr-FR"/>
        </w:rPr>
        <w:t>n</w:t>
      </w:r>
      <w:r w:rsidRPr="00A66252">
        <w:rPr>
          <w:vertAlign w:val="superscript"/>
          <w:lang w:val="fr-FR"/>
        </w:rPr>
        <w:t>o</w:t>
      </w:r>
      <w:r w:rsidRPr="00A66252">
        <w:rPr>
          <w:lang w:val="fr-FR"/>
        </w:rPr>
        <w:t xml:space="preserve"> 10511/10</w:t>
      </w:r>
      <w:r w:rsidRPr="00A66252">
        <w:rPr>
          <w:snapToGrid w:val="0"/>
          <w:lang w:val="fr-FR"/>
        </w:rPr>
        <w:t>, § 79, CEDH 2016</w:t>
      </w:r>
      <w:r w:rsidRPr="00A66252">
        <w:rPr>
          <w:lang w:val="fr-FR"/>
        </w:rPr>
        <w:t>). En l</w:t>
      </w:r>
      <w:r w:rsidR="00A66252" w:rsidRPr="00A66252">
        <w:rPr>
          <w:lang w:val="fr-FR"/>
        </w:rPr>
        <w:t>’</w:t>
      </w:r>
      <w:r w:rsidRPr="00A66252">
        <w:rPr>
          <w:lang w:val="fr-FR"/>
        </w:rPr>
        <w:t xml:space="preserve">espèce, la Cour prend note du souhait exprimé par la famille du </w:t>
      </w:r>
      <w:r w:rsidRPr="00A66252">
        <w:rPr>
          <w:lang w:val="fr-FR"/>
        </w:rPr>
        <w:lastRenderedPageBreak/>
        <w:t xml:space="preserve">requérant </w:t>
      </w:r>
      <w:r w:rsidR="003524BE" w:rsidRPr="00A66252">
        <w:rPr>
          <w:lang w:val="fr-FR"/>
        </w:rPr>
        <w:t xml:space="preserve">(voir </w:t>
      </w:r>
      <w:r w:rsidR="009A4009" w:rsidRPr="00A66252">
        <w:rPr>
          <w:lang w:val="fr-FR"/>
        </w:rPr>
        <w:t>paragraphe</w:t>
      </w:r>
      <w:r w:rsidR="00F67322" w:rsidRPr="00A66252">
        <w:rPr>
          <w:lang w:val="fr-FR"/>
        </w:rPr>
        <w:t xml:space="preserve"> 1, ci-dessus</w:t>
      </w:r>
      <w:r w:rsidR="009A4009" w:rsidRPr="00A66252">
        <w:rPr>
          <w:lang w:val="fr-FR"/>
        </w:rPr>
        <w:t xml:space="preserve">) </w:t>
      </w:r>
      <w:r w:rsidRPr="00A66252">
        <w:rPr>
          <w:lang w:val="fr-FR"/>
        </w:rPr>
        <w:t xml:space="preserve">de poursuivre la procédure. Eu égard à sa conclusion au paragraphe </w:t>
      </w:r>
      <w:r w:rsidRPr="00A66252">
        <w:rPr>
          <w:lang w:val="fr-FR"/>
        </w:rPr>
        <w:fldChar w:fldCharType="begin"/>
      </w:r>
      <w:r w:rsidRPr="00A66252">
        <w:rPr>
          <w:lang w:val="fr-FR"/>
        </w:rPr>
        <w:instrText xml:space="preserve"> REF ART371CONCL \h </w:instrText>
      </w:r>
      <w:r w:rsidR="0020596B" w:rsidRPr="00A66252">
        <w:rPr>
          <w:lang w:val="fr-FR"/>
        </w:rPr>
        <w:instrText xml:space="preserve"> \* MERGEFORMAT </w:instrText>
      </w:r>
      <w:r w:rsidRPr="00A66252">
        <w:rPr>
          <w:lang w:val="fr-FR"/>
        </w:rPr>
      </w:r>
      <w:r w:rsidRPr="00A66252">
        <w:rPr>
          <w:lang w:val="fr-FR"/>
        </w:rPr>
        <w:fldChar w:fldCharType="separate"/>
      </w:r>
      <w:r w:rsidR="00A66252" w:rsidRPr="00A66252">
        <w:rPr>
          <w:bCs/>
          <w:noProof/>
          <w:lang w:val="fr-FR"/>
        </w:rPr>
        <w:t>133</w:t>
      </w:r>
      <w:r w:rsidRPr="00A66252">
        <w:rPr>
          <w:lang w:val="fr-FR"/>
        </w:rPr>
        <w:fldChar w:fldCharType="end"/>
      </w:r>
      <w:r w:rsidRPr="00A66252">
        <w:rPr>
          <w:lang w:val="fr-FR"/>
        </w:rPr>
        <w:t>, ci-dessous, elle estime toutefois qu</w:t>
      </w:r>
      <w:r w:rsidR="00A66252" w:rsidRPr="00A66252">
        <w:rPr>
          <w:lang w:val="fr-FR"/>
        </w:rPr>
        <w:t>’</w:t>
      </w:r>
      <w:r w:rsidRPr="00A66252">
        <w:rPr>
          <w:lang w:val="fr-FR"/>
        </w:rPr>
        <w:t>il n</w:t>
      </w:r>
      <w:r w:rsidR="00A66252" w:rsidRPr="00A66252">
        <w:rPr>
          <w:lang w:val="fr-FR"/>
        </w:rPr>
        <w:t>’</w:t>
      </w:r>
      <w:r w:rsidRPr="00A66252">
        <w:rPr>
          <w:lang w:val="fr-FR"/>
        </w:rPr>
        <w:t>y a pas lieu de statuer sur le point de savoir si la famille a un intérêt légitime à cet effet.</w:t>
      </w:r>
    </w:p>
    <w:p w:rsidR="00070476" w:rsidRPr="00A66252" w:rsidRDefault="00070476" w:rsidP="00A66252">
      <w:pPr>
        <w:pStyle w:val="ECHRPara"/>
        <w:rPr>
          <w:i/>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127</w:t>
      </w:r>
      <w:r w:rsidRPr="00A66252">
        <w:fldChar w:fldCharType="end"/>
      </w:r>
      <w:r w:rsidRPr="00A66252">
        <w:rPr>
          <w:lang w:val="fr-FR"/>
        </w:rPr>
        <w:t>.  Cela étant, la Cour doit rechercher si, eu égard au décès du requérant et à la nature des violations alléguées, il convient de rayer la requête du rôle ou si, au contraire, il existe des circonstances spéciales qui exigent la poursuite de l</w:t>
      </w:r>
      <w:r w:rsidR="00A66252" w:rsidRPr="00A66252">
        <w:rPr>
          <w:lang w:val="fr-FR"/>
        </w:rPr>
        <w:t>’</w:t>
      </w:r>
      <w:r w:rsidRPr="00A66252">
        <w:rPr>
          <w:lang w:val="fr-FR"/>
        </w:rPr>
        <w:t>examen de la requête en vertu de l</w:t>
      </w:r>
      <w:r w:rsidR="00A66252" w:rsidRPr="00A66252">
        <w:rPr>
          <w:lang w:val="fr-FR"/>
        </w:rPr>
        <w:t>’</w:t>
      </w:r>
      <w:r w:rsidRPr="00A66252">
        <w:rPr>
          <w:lang w:val="fr-FR"/>
        </w:rPr>
        <w:t xml:space="preserve">article 37 § 1 </w:t>
      </w:r>
      <w:r w:rsidRPr="00A66252">
        <w:rPr>
          <w:i/>
          <w:lang w:val="fr-FR"/>
        </w:rPr>
        <w:t>in fine.</w:t>
      </w:r>
    </w:p>
    <w:p w:rsidR="00CC7944" w:rsidRPr="00A66252" w:rsidRDefault="008B0595"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128</w:t>
      </w:r>
      <w:r w:rsidRPr="00A66252">
        <w:fldChar w:fldCharType="end"/>
      </w:r>
      <w:r w:rsidRPr="00A66252">
        <w:rPr>
          <w:lang w:val="fr-FR"/>
        </w:rPr>
        <w:t>. </w:t>
      </w:r>
      <w:r w:rsidR="004479CD" w:rsidRPr="00A66252">
        <w:rPr>
          <w:lang w:val="fr-FR"/>
        </w:rPr>
        <w:t> </w:t>
      </w:r>
      <w:r w:rsidR="00022A40" w:rsidRPr="00A66252">
        <w:rPr>
          <w:lang w:val="fr-FR"/>
        </w:rPr>
        <w:t>À cet égard, l</w:t>
      </w:r>
      <w:r w:rsidR="00A66252" w:rsidRPr="00A66252">
        <w:rPr>
          <w:lang w:val="fr-FR"/>
        </w:rPr>
        <w:t>’</w:t>
      </w:r>
      <w:r w:rsidRPr="00A66252">
        <w:rPr>
          <w:lang w:val="fr-FR"/>
        </w:rPr>
        <w:t>article 37</w:t>
      </w:r>
      <w:r w:rsidR="008216F3" w:rsidRPr="00A66252">
        <w:rPr>
          <w:lang w:val="fr-FR"/>
        </w:rPr>
        <w:t xml:space="preserve"> </w:t>
      </w:r>
      <w:r w:rsidR="008216F3" w:rsidRPr="00A66252">
        <w:rPr>
          <w:rFonts w:cstheme="minorHAnsi"/>
          <w:lang w:val="fr-FR"/>
        </w:rPr>
        <w:t>§</w:t>
      </w:r>
      <w:r w:rsidR="008216F3" w:rsidRPr="00A66252">
        <w:rPr>
          <w:lang w:val="fr-FR"/>
        </w:rPr>
        <w:t xml:space="preserve"> 1 </w:t>
      </w:r>
      <w:r w:rsidRPr="00A66252">
        <w:rPr>
          <w:lang w:val="fr-FR"/>
        </w:rPr>
        <w:t xml:space="preserve">de la Convention </w:t>
      </w:r>
      <w:r w:rsidR="00022A40" w:rsidRPr="00A66252">
        <w:rPr>
          <w:lang w:val="fr-FR"/>
        </w:rPr>
        <w:t>prévoit ce qui suit</w:t>
      </w:r>
      <w:r w:rsidR="00CC7944" w:rsidRPr="00A66252">
        <w:rPr>
          <w:lang w:val="fr-FR"/>
        </w:rPr>
        <w:t> :</w:t>
      </w:r>
    </w:p>
    <w:p w:rsidR="00CC7944" w:rsidRPr="00A66252" w:rsidRDefault="004479CD" w:rsidP="00A66252">
      <w:pPr>
        <w:pStyle w:val="ECHRParaQuote"/>
        <w:rPr>
          <w:lang w:val="fr-FR"/>
        </w:rPr>
      </w:pPr>
      <w:r w:rsidRPr="00A66252">
        <w:rPr>
          <w:lang w:val="fr-FR"/>
        </w:rPr>
        <w:t>« </w:t>
      </w:r>
      <w:r w:rsidR="00CC7944" w:rsidRPr="00A66252">
        <w:rPr>
          <w:lang w:val="fr-FR"/>
        </w:rPr>
        <w:t>À tout moment de la procédure, la Cour peut décider de rayer une requête du rôle lorsque les circonstances permettent de conclure</w:t>
      </w:r>
    </w:p>
    <w:p w:rsidR="00CC7944" w:rsidRPr="00A66252" w:rsidRDefault="004479CD" w:rsidP="00A66252">
      <w:pPr>
        <w:pStyle w:val="ECHRParaQuote"/>
        <w:rPr>
          <w:lang w:val="fr-FR"/>
        </w:rPr>
      </w:pPr>
      <w:r w:rsidRPr="00A66252">
        <w:rPr>
          <w:lang w:val="fr-FR"/>
        </w:rPr>
        <w:t>a)  </w:t>
      </w:r>
      <w:r w:rsidR="00CC7944" w:rsidRPr="00A66252">
        <w:rPr>
          <w:lang w:val="fr-FR"/>
        </w:rPr>
        <w:t>que le requérant n</w:t>
      </w:r>
      <w:r w:rsidR="00A66252" w:rsidRPr="00A66252">
        <w:rPr>
          <w:lang w:val="fr-FR"/>
        </w:rPr>
        <w:t>’</w:t>
      </w:r>
      <w:r w:rsidR="00CC7944" w:rsidRPr="00A66252">
        <w:rPr>
          <w:lang w:val="fr-FR"/>
        </w:rPr>
        <w:t>entend plus la maintenir</w:t>
      </w:r>
      <w:r w:rsidRPr="00A66252">
        <w:rPr>
          <w:lang w:val="fr-FR"/>
        </w:rPr>
        <w:t> </w:t>
      </w:r>
      <w:r w:rsidR="00CC7944" w:rsidRPr="00A66252">
        <w:rPr>
          <w:lang w:val="fr-FR"/>
        </w:rPr>
        <w:t>; ou</w:t>
      </w:r>
    </w:p>
    <w:p w:rsidR="00CC7944" w:rsidRPr="00A66252" w:rsidRDefault="004479CD" w:rsidP="00A66252">
      <w:pPr>
        <w:pStyle w:val="ECHRParaQuote"/>
        <w:rPr>
          <w:lang w:val="fr-FR"/>
        </w:rPr>
      </w:pPr>
      <w:r w:rsidRPr="00A66252">
        <w:rPr>
          <w:lang w:val="fr-FR"/>
        </w:rPr>
        <w:t>b)  </w:t>
      </w:r>
      <w:r w:rsidR="00CC7944" w:rsidRPr="00A66252">
        <w:rPr>
          <w:lang w:val="fr-FR"/>
        </w:rPr>
        <w:t>que le litige a été résolu</w:t>
      </w:r>
      <w:r w:rsidRPr="00A66252">
        <w:rPr>
          <w:lang w:val="fr-FR"/>
        </w:rPr>
        <w:t> </w:t>
      </w:r>
      <w:r w:rsidR="00CC7944" w:rsidRPr="00A66252">
        <w:rPr>
          <w:lang w:val="fr-FR"/>
        </w:rPr>
        <w:t>; ou</w:t>
      </w:r>
    </w:p>
    <w:p w:rsidR="00CC7944" w:rsidRPr="00A66252" w:rsidRDefault="00CC7944" w:rsidP="00A66252">
      <w:pPr>
        <w:pStyle w:val="ECHRParaQuote"/>
        <w:rPr>
          <w:lang w:val="fr-FR"/>
        </w:rPr>
      </w:pPr>
      <w:r w:rsidRPr="00A66252">
        <w:rPr>
          <w:lang w:val="fr-FR"/>
        </w:rPr>
        <w:t>c)</w:t>
      </w:r>
      <w:r w:rsidR="004479CD" w:rsidRPr="00A66252">
        <w:rPr>
          <w:lang w:val="fr-FR"/>
        </w:rPr>
        <w:t>  </w:t>
      </w:r>
      <w:r w:rsidRPr="00A66252">
        <w:rPr>
          <w:lang w:val="fr-FR"/>
        </w:rPr>
        <w:t>que, pour tout autre motif dont la Cour constate l</w:t>
      </w:r>
      <w:r w:rsidR="00A66252" w:rsidRPr="00A66252">
        <w:rPr>
          <w:lang w:val="fr-FR"/>
        </w:rPr>
        <w:t>’</w:t>
      </w:r>
      <w:r w:rsidRPr="00A66252">
        <w:rPr>
          <w:lang w:val="fr-FR"/>
        </w:rPr>
        <w:t>existence, il ne se justifie plus de poursuivre l</w:t>
      </w:r>
      <w:r w:rsidR="00A66252" w:rsidRPr="00A66252">
        <w:rPr>
          <w:lang w:val="fr-FR"/>
        </w:rPr>
        <w:t>’</w:t>
      </w:r>
      <w:r w:rsidRPr="00A66252">
        <w:rPr>
          <w:lang w:val="fr-FR"/>
        </w:rPr>
        <w:t>examen de la requête.</w:t>
      </w:r>
    </w:p>
    <w:p w:rsidR="00F91AEA" w:rsidRPr="00A66252" w:rsidRDefault="00CC7944" w:rsidP="00A66252">
      <w:pPr>
        <w:pStyle w:val="ECHRParaQuote"/>
        <w:rPr>
          <w:lang w:val="fr-FR"/>
        </w:rPr>
      </w:pPr>
      <w:r w:rsidRPr="00A66252">
        <w:rPr>
          <w:lang w:val="fr-FR"/>
        </w:rPr>
        <w:t>Toutefois, la Cour poursuit l</w:t>
      </w:r>
      <w:r w:rsidR="00A66252" w:rsidRPr="00A66252">
        <w:rPr>
          <w:lang w:val="fr-FR"/>
        </w:rPr>
        <w:t>’</w:t>
      </w:r>
      <w:r w:rsidRPr="00A66252">
        <w:rPr>
          <w:lang w:val="fr-FR"/>
        </w:rPr>
        <w:t>examen de la requête si le respect des droits de l</w:t>
      </w:r>
      <w:r w:rsidR="00A66252" w:rsidRPr="00A66252">
        <w:rPr>
          <w:lang w:val="fr-FR"/>
        </w:rPr>
        <w:t>’</w:t>
      </w:r>
      <w:r w:rsidRPr="00A66252">
        <w:rPr>
          <w:lang w:val="fr-FR"/>
        </w:rPr>
        <w:t>homme garantis par la Convention et ses Protocoles l</w:t>
      </w:r>
      <w:r w:rsidR="00A66252" w:rsidRPr="00A66252">
        <w:rPr>
          <w:lang w:val="fr-FR"/>
        </w:rPr>
        <w:t>’</w:t>
      </w:r>
      <w:r w:rsidRPr="00A66252">
        <w:rPr>
          <w:lang w:val="fr-FR"/>
        </w:rPr>
        <w:t>exige.</w:t>
      </w:r>
      <w:r w:rsidR="004479CD" w:rsidRPr="00A66252">
        <w:rPr>
          <w:lang w:val="fr-FR"/>
        </w:rPr>
        <w:t> </w:t>
      </w:r>
      <w:r w:rsidRPr="00A66252">
        <w:rPr>
          <w:lang w:val="fr-FR"/>
        </w:rPr>
        <w:t>»</w:t>
      </w:r>
    </w:p>
    <w:p w:rsidR="00CF4798" w:rsidRPr="00A66252" w:rsidRDefault="000321E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129</w:t>
      </w:r>
      <w:r w:rsidRPr="00A66252">
        <w:rPr>
          <w:lang w:val="fr-FR"/>
        </w:rPr>
        <w:fldChar w:fldCharType="end"/>
      </w:r>
      <w:r w:rsidRPr="00A66252">
        <w:rPr>
          <w:lang w:val="fr-FR"/>
        </w:rPr>
        <w:t>.  </w:t>
      </w:r>
      <w:r w:rsidR="008B0595" w:rsidRPr="00A66252">
        <w:rPr>
          <w:lang w:val="fr-FR"/>
        </w:rPr>
        <w:t>L</w:t>
      </w:r>
      <w:r w:rsidR="00022A40" w:rsidRPr="00A66252">
        <w:rPr>
          <w:lang w:val="fr-FR"/>
        </w:rPr>
        <w:t>a Cour rappelle que l</w:t>
      </w:r>
      <w:r w:rsidR="008B0595" w:rsidRPr="00A66252">
        <w:rPr>
          <w:lang w:val="fr-FR"/>
        </w:rPr>
        <w:t>es affaires relevant du domaine des droits de l</w:t>
      </w:r>
      <w:r w:rsidR="00A66252" w:rsidRPr="00A66252">
        <w:rPr>
          <w:lang w:val="fr-FR"/>
        </w:rPr>
        <w:t>’</w:t>
      </w:r>
      <w:r w:rsidR="008B0595" w:rsidRPr="00A66252">
        <w:rPr>
          <w:lang w:val="fr-FR"/>
        </w:rPr>
        <w:t xml:space="preserve">homme portées devant </w:t>
      </w:r>
      <w:r w:rsidR="00DA34E4" w:rsidRPr="00A66252">
        <w:rPr>
          <w:lang w:val="fr-FR"/>
        </w:rPr>
        <w:t>elle</w:t>
      </w:r>
      <w:r w:rsidR="008B0595" w:rsidRPr="00A66252">
        <w:rPr>
          <w:lang w:val="fr-FR"/>
        </w:rPr>
        <w:t xml:space="preserve"> présentent généralement aussi une dimension morale qui doit être prise en compte quand il s</w:t>
      </w:r>
      <w:r w:rsidR="00A66252" w:rsidRPr="00A66252">
        <w:rPr>
          <w:lang w:val="fr-FR"/>
        </w:rPr>
        <w:t>’</w:t>
      </w:r>
      <w:r w:rsidR="008B0595" w:rsidRPr="00A66252">
        <w:rPr>
          <w:lang w:val="fr-FR"/>
        </w:rPr>
        <w:t>agit de décider si l</w:t>
      </w:r>
      <w:r w:rsidR="00A66252" w:rsidRPr="00A66252">
        <w:rPr>
          <w:lang w:val="fr-FR"/>
        </w:rPr>
        <w:t>’</w:t>
      </w:r>
      <w:r w:rsidR="008B0595" w:rsidRPr="00A66252">
        <w:rPr>
          <w:lang w:val="fr-FR"/>
        </w:rPr>
        <w:t>examen d</w:t>
      </w:r>
      <w:r w:rsidR="00A66252" w:rsidRPr="00A66252">
        <w:rPr>
          <w:lang w:val="fr-FR"/>
        </w:rPr>
        <w:t>’</w:t>
      </w:r>
      <w:r w:rsidR="008B0595" w:rsidRPr="00A66252">
        <w:rPr>
          <w:lang w:val="fr-FR"/>
        </w:rPr>
        <w:t>une requête doit être poursuivi après la mort du requérant</w:t>
      </w:r>
      <w:r w:rsidR="00CF4798" w:rsidRPr="00A66252">
        <w:rPr>
          <w:lang w:val="fr-FR"/>
        </w:rPr>
        <w:t xml:space="preserve"> (</w:t>
      </w:r>
      <w:proofErr w:type="spellStart"/>
      <w:r w:rsidR="00CF4798" w:rsidRPr="00A66252">
        <w:rPr>
          <w:i/>
          <w:lang w:val="fr-FR"/>
        </w:rPr>
        <w:t>Karner</w:t>
      </w:r>
      <w:proofErr w:type="spellEnd"/>
      <w:r w:rsidR="00CF4798" w:rsidRPr="00A66252">
        <w:rPr>
          <w:i/>
          <w:lang w:val="fr-FR"/>
        </w:rPr>
        <w:t xml:space="preserve"> c.</w:t>
      </w:r>
      <w:r w:rsidR="003524BE" w:rsidRPr="00A66252">
        <w:rPr>
          <w:i/>
          <w:lang w:val="fr-FR"/>
        </w:rPr>
        <w:t> </w:t>
      </w:r>
      <w:r w:rsidR="00CF4798" w:rsidRPr="00A66252">
        <w:rPr>
          <w:i/>
          <w:lang w:val="fr-FR"/>
        </w:rPr>
        <w:t>Autriche</w:t>
      </w:r>
      <w:r w:rsidR="00CF4798" w:rsidRPr="00A66252">
        <w:rPr>
          <w:lang w:val="fr-FR"/>
        </w:rPr>
        <w:t>,</w:t>
      </w:r>
      <w:r w:rsidR="00CF4798" w:rsidRPr="00A66252">
        <w:rPr>
          <w:i/>
          <w:lang w:val="fr-FR"/>
        </w:rPr>
        <w:t xml:space="preserve"> </w:t>
      </w:r>
      <w:r w:rsidR="00CF4798" w:rsidRPr="00A66252">
        <w:rPr>
          <w:lang w:val="fr-FR"/>
        </w:rPr>
        <w:t>n</w:t>
      </w:r>
      <w:r w:rsidR="00CF4798" w:rsidRPr="00A66252">
        <w:rPr>
          <w:vertAlign w:val="superscript"/>
          <w:lang w:val="fr-FR"/>
        </w:rPr>
        <w:t>o</w:t>
      </w:r>
      <w:r w:rsidR="00CF4798" w:rsidRPr="00A66252">
        <w:rPr>
          <w:lang w:val="fr-FR"/>
        </w:rPr>
        <w:t> 40016/98, § 25, CEDH 2003</w:t>
      </w:r>
      <w:r w:rsidR="00CF4798" w:rsidRPr="00A66252">
        <w:rPr>
          <w:lang w:val="fr-FR"/>
        </w:rPr>
        <w:noBreakHyphen/>
        <w:t xml:space="preserve">IX, et </w:t>
      </w:r>
      <w:proofErr w:type="spellStart"/>
      <w:r w:rsidR="00CF4798" w:rsidRPr="00A66252">
        <w:rPr>
          <w:i/>
          <w:lang w:val="fr-FR"/>
        </w:rPr>
        <w:t>Malhous</w:t>
      </w:r>
      <w:proofErr w:type="spellEnd"/>
      <w:r w:rsidR="00CF4798" w:rsidRPr="00A66252">
        <w:rPr>
          <w:lang w:val="fr-FR"/>
        </w:rPr>
        <w:t xml:space="preserve"> </w:t>
      </w:r>
      <w:r w:rsidR="00464C67" w:rsidRPr="00A66252">
        <w:rPr>
          <w:lang w:val="fr-FR"/>
        </w:rPr>
        <w:t xml:space="preserve">(déc.), </w:t>
      </w:r>
      <w:r w:rsidR="00CF4798" w:rsidRPr="00A66252">
        <w:rPr>
          <w:lang w:val="fr-FR"/>
        </w:rPr>
        <w:t>précité).</w:t>
      </w:r>
    </w:p>
    <w:p w:rsidR="00BC0ED3" w:rsidRPr="00A66252" w:rsidRDefault="00BC0ED3"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130</w:t>
      </w:r>
      <w:r w:rsidRPr="00A66252">
        <w:fldChar w:fldCharType="end"/>
      </w:r>
      <w:r w:rsidRPr="00A66252">
        <w:rPr>
          <w:lang w:val="fr-FR"/>
        </w:rPr>
        <w:t>.  </w:t>
      </w:r>
      <w:r w:rsidR="008B0595" w:rsidRPr="00A66252">
        <w:rPr>
          <w:lang w:val="fr-FR"/>
        </w:rPr>
        <w:t>La Cour a fréquemment déclaré que ses arrêts servaient non seulement à trancher les cas dont elle était saisie, mais plus largement à clarifier, sauvegarder et développer les normes de la Convention et à contribuer de la sorte au respect, par les États, de leurs engagements. Si le système mis en place par la Convention a pour objet fondamental d</w:t>
      </w:r>
      <w:r w:rsidR="00A66252" w:rsidRPr="00A66252">
        <w:rPr>
          <w:lang w:val="fr-FR"/>
        </w:rPr>
        <w:t>’</w:t>
      </w:r>
      <w:r w:rsidR="008B0595" w:rsidRPr="00A66252">
        <w:rPr>
          <w:lang w:val="fr-FR"/>
        </w:rPr>
        <w:t>offrir un recours aux particuliers, il a également pour but de trancher, dans l</w:t>
      </w:r>
      <w:r w:rsidR="00A66252" w:rsidRPr="00A66252">
        <w:rPr>
          <w:lang w:val="fr-FR"/>
        </w:rPr>
        <w:t>’</w:t>
      </w:r>
      <w:r w:rsidR="008B0595" w:rsidRPr="00A66252">
        <w:rPr>
          <w:lang w:val="fr-FR"/>
        </w:rPr>
        <w:t>intérêt général, des questions qui relèvent de l</w:t>
      </w:r>
      <w:r w:rsidR="00A66252" w:rsidRPr="00A66252">
        <w:rPr>
          <w:lang w:val="fr-FR"/>
        </w:rPr>
        <w:t>’</w:t>
      </w:r>
      <w:r w:rsidR="008B0595" w:rsidRPr="00A66252">
        <w:rPr>
          <w:lang w:val="fr-FR"/>
        </w:rPr>
        <w:t>ordre public, en élevant les normes de protection des droits de l</w:t>
      </w:r>
      <w:r w:rsidR="00A66252" w:rsidRPr="00A66252">
        <w:rPr>
          <w:lang w:val="fr-FR"/>
        </w:rPr>
        <w:t>’</w:t>
      </w:r>
      <w:r w:rsidR="008B0595" w:rsidRPr="00A66252">
        <w:rPr>
          <w:lang w:val="fr-FR"/>
        </w:rPr>
        <w:t>homme et en étendant la jurisprudence dans ce domaine à l</w:t>
      </w:r>
      <w:r w:rsidR="00A66252" w:rsidRPr="00A66252">
        <w:rPr>
          <w:lang w:val="fr-FR"/>
        </w:rPr>
        <w:t>’</w:t>
      </w:r>
      <w:r w:rsidR="008B0595" w:rsidRPr="00A66252">
        <w:rPr>
          <w:lang w:val="fr-FR"/>
        </w:rPr>
        <w:t>ensemble de la communauté des États parties à la Convention (</w:t>
      </w:r>
      <w:proofErr w:type="spellStart"/>
      <w:r w:rsidR="00CF4798" w:rsidRPr="00A66252">
        <w:rPr>
          <w:i/>
          <w:lang w:val="fr-FR"/>
        </w:rPr>
        <w:t>Karner</w:t>
      </w:r>
      <w:proofErr w:type="spellEnd"/>
      <w:r w:rsidR="00CF4798" w:rsidRPr="00A66252">
        <w:rPr>
          <w:i/>
          <w:lang w:val="fr-FR"/>
        </w:rPr>
        <w:t xml:space="preserve">, </w:t>
      </w:r>
      <w:r w:rsidR="00CF4798" w:rsidRPr="00A66252">
        <w:rPr>
          <w:lang w:val="fr-FR"/>
        </w:rPr>
        <w:t>précité, §</w:t>
      </w:r>
      <w:r w:rsidR="002A5A1A" w:rsidRPr="00A66252">
        <w:rPr>
          <w:lang w:val="fr-FR"/>
        </w:rPr>
        <w:t xml:space="preserve"> </w:t>
      </w:r>
      <w:r w:rsidR="00CF4798" w:rsidRPr="00A66252">
        <w:rPr>
          <w:lang w:val="fr-FR"/>
        </w:rPr>
        <w:t>26</w:t>
      </w:r>
      <w:r w:rsidR="008B0595" w:rsidRPr="00A66252">
        <w:rPr>
          <w:lang w:val="fr-FR"/>
        </w:rPr>
        <w:t>).</w:t>
      </w:r>
    </w:p>
    <w:p w:rsidR="000E7F7A" w:rsidRPr="00A66252" w:rsidRDefault="00BC0ED3" w:rsidP="00A66252">
      <w:pPr>
        <w:pStyle w:val="ECHRPara"/>
        <w:rPr>
          <w:lang w:val="fr-FR"/>
        </w:rPr>
      </w:pPr>
      <w:r w:rsidRPr="00A66252">
        <w:fldChar w:fldCharType="begin"/>
      </w:r>
      <w:r w:rsidRPr="00A66252">
        <w:rPr>
          <w:lang w:val="fr-FR"/>
        </w:rPr>
        <w:instrText xml:space="preserve"> SEQ level0 \*arabic </w:instrText>
      </w:r>
      <w:r w:rsidRPr="00A66252">
        <w:fldChar w:fldCharType="separate"/>
      </w:r>
      <w:r w:rsidR="00A66252" w:rsidRPr="00A66252">
        <w:rPr>
          <w:noProof/>
          <w:lang w:val="fr-FR"/>
        </w:rPr>
        <w:t>131</w:t>
      </w:r>
      <w:r w:rsidRPr="00A66252">
        <w:fldChar w:fldCharType="end"/>
      </w:r>
      <w:r w:rsidR="006600EE" w:rsidRPr="00A66252">
        <w:rPr>
          <w:lang w:val="fr-FR"/>
        </w:rPr>
        <w:t>.  </w:t>
      </w:r>
      <w:r w:rsidR="000E7F7A" w:rsidRPr="00A66252">
        <w:rPr>
          <w:lang w:val="fr-FR"/>
        </w:rPr>
        <w:t>La Cour rappelle que, le</w:t>
      </w:r>
      <w:r w:rsidR="002A5A1A" w:rsidRPr="00A66252">
        <w:rPr>
          <w:lang w:val="fr-FR"/>
        </w:rPr>
        <w:t xml:space="preserve"> 20 avril 2015</w:t>
      </w:r>
      <w:r w:rsidR="000E7F7A" w:rsidRPr="00A66252">
        <w:rPr>
          <w:lang w:val="fr-FR"/>
        </w:rPr>
        <w:t>, l</w:t>
      </w:r>
      <w:r w:rsidR="00A66252" w:rsidRPr="00A66252">
        <w:rPr>
          <w:lang w:val="fr-FR"/>
        </w:rPr>
        <w:t>’</w:t>
      </w:r>
      <w:r w:rsidR="000E7F7A" w:rsidRPr="00A66252">
        <w:rPr>
          <w:lang w:val="fr-FR"/>
        </w:rPr>
        <w:t>affaire a été renvoyée à la Grande Chambre en vertu de l</w:t>
      </w:r>
      <w:r w:rsidR="00A66252" w:rsidRPr="00A66252">
        <w:rPr>
          <w:lang w:val="fr-FR"/>
        </w:rPr>
        <w:t>’</w:t>
      </w:r>
      <w:r w:rsidR="000E7F7A" w:rsidRPr="00A66252">
        <w:rPr>
          <w:lang w:val="fr-FR"/>
        </w:rPr>
        <w:t>article 43 de la Convention, qui dispose qu</w:t>
      </w:r>
      <w:r w:rsidR="00A66252" w:rsidRPr="00A66252">
        <w:rPr>
          <w:lang w:val="fr-FR"/>
        </w:rPr>
        <w:t>’</w:t>
      </w:r>
      <w:r w:rsidR="000E7F7A" w:rsidRPr="00A66252">
        <w:rPr>
          <w:lang w:val="fr-FR"/>
        </w:rPr>
        <w:t>une affaire peut faire l</w:t>
      </w:r>
      <w:r w:rsidR="00A66252" w:rsidRPr="00A66252">
        <w:rPr>
          <w:lang w:val="fr-FR"/>
        </w:rPr>
        <w:t>’</w:t>
      </w:r>
      <w:r w:rsidR="000E7F7A" w:rsidRPr="00A66252">
        <w:rPr>
          <w:lang w:val="fr-FR"/>
        </w:rPr>
        <w:t>objet d</w:t>
      </w:r>
      <w:r w:rsidR="00A66252" w:rsidRPr="00A66252">
        <w:rPr>
          <w:lang w:val="fr-FR"/>
        </w:rPr>
        <w:t>’</w:t>
      </w:r>
      <w:r w:rsidR="000E7F7A" w:rsidRPr="00A66252">
        <w:rPr>
          <w:lang w:val="fr-FR"/>
        </w:rPr>
        <w:t>un tel renvoi si elle soulève une « question grave relative à l</w:t>
      </w:r>
      <w:r w:rsidR="00A66252" w:rsidRPr="00A66252">
        <w:rPr>
          <w:lang w:val="fr-FR"/>
        </w:rPr>
        <w:t>’</w:t>
      </w:r>
      <w:r w:rsidR="000E7F7A" w:rsidRPr="00A66252">
        <w:rPr>
          <w:lang w:val="fr-FR"/>
        </w:rPr>
        <w:t>interprétation ou à l</w:t>
      </w:r>
      <w:r w:rsidR="00A66252" w:rsidRPr="00A66252">
        <w:rPr>
          <w:lang w:val="fr-FR"/>
        </w:rPr>
        <w:t>’</w:t>
      </w:r>
      <w:r w:rsidR="000E7F7A" w:rsidRPr="00A66252">
        <w:rPr>
          <w:lang w:val="fr-FR"/>
        </w:rPr>
        <w:t>application de la Convention ou de ses Protocoles, ou encore une question grave de caractère général</w:t>
      </w:r>
      <w:r w:rsidR="006600EE" w:rsidRPr="00A66252">
        <w:rPr>
          <w:lang w:val="fr-FR"/>
        </w:rPr>
        <w:t> </w:t>
      </w:r>
      <w:r w:rsidR="000E7F7A" w:rsidRPr="00A66252">
        <w:rPr>
          <w:lang w:val="fr-FR"/>
        </w:rPr>
        <w:t>».</w:t>
      </w:r>
    </w:p>
    <w:p w:rsidR="000E7F7A" w:rsidRPr="00A66252" w:rsidRDefault="000E7F7A" w:rsidP="00A66252">
      <w:pPr>
        <w:pStyle w:val="ECHRPara"/>
        <w:rPr>
          <w:szCs w:val="24"/>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132</w:t>
      </w:r>
      <w:r w:rsidRPr="00A66252">
        <w:rPr>
          <w:lang w:val="fr-FR"/>
        </w:rPr>
        <w:fldChar w:fldCharType="end"/>
      </w:r>
      <w:r w:rsidRPr="00A66252">
        <w:rPr>
          <w:lang w:val="fr-FR"/>
        </w:rPr>
        <w:t>.  </w:t>
      </w:r>
      <w:r w:rsidRPr="00A66252">
        <w:rPr>
          <w:bCs/>
          <w:lang w:val="fr-FR"/>
        </w:rPr>
        <w:t>La Cour note que d</w:t>
      </w:r>
      <w:r w:rsidR="00A66252" w:rsidRPr="00A66252">
        <w:rPr>
          <w:bCs/>
          <w:lang w:val="fr-FR"/>
        </w:rPr>
        <w:t>’</w:t>
      </w:r>
      <w:r w:rsidRPr="00A66252">
        <w:rPr>
          <w:bCs/>
          <w:lang w:val="fr-FR"/>
        </w:rPr>
        <w:t>importantes questions se trouvent en jeu dans la présente affaire</w:t>
      </w:r>
      <w:r w:rsidRPr="00A66252">
        <w:rPr>
          <w:lang w:val="fr-FR"/>
        </w:rPr>
        <w:t xml:space="preserve">, notamment en ce qui concerne </w:t>
      </w:r>
      <w:r w:rsidR="00CF4798" w:rsidRPr="00A66252">
        <w:rPr>
          <w:lang w:val="fr-FR"/>
        </w:rPr>
        <w:t>l</w:t>
      </w:r>
      <w:r w:rsidR="00A66252" w:rsidRPr="00A66252">
        <w:rPr>
          <w:lang w:val="fr-FR"/>
        </w:rPr>
        <w:t>’</w:t>
      </w:r>
      <w:r w:rsidR="00CF4798" w:rsidRPr="00A66252">
        <w:rPr>
          <w:lang w:val="fr-FR"/>
        </w:rPr>
        <w:t>interprétation de la jurisprudence relative à l</w:t>
      </w:r>
      <w:r w:rsidR="00A66252" w:rsidRPr="00A66252">
        <w:rPr>
          <w:lang w:val="fr-FR"/>
        </w:rPr>
        <w:t>’</w:t>
      </w:r>
      <w:r w:rsidR="00CF4798" w:rsidRPr="00A66252">
        <w:rPr>
          <w:lang w:val="fr-FR"/>
        </w:rPr>
        <w:t>expulsion des étrangers gravement malades.</w:t>
      </w:r>
      <w:r w:rsidR="00130234" w:rsidRPr="00A66252">
        <w:rPr>
          <w:bCs/>
          <w:lang w:val="fr-FR"/>
        </w:rPr>
        <w:t xml:space="preserve"> </w:t>
      </w:r>
      <w:r w:rsidRPr="00A66252">
        <w:rPr>
          <w:bCs/>
          <w:lang w:val="fr-FR"/>
        </w:rPr>
        <w:t>Par son impact, l</w:t>
      </w:r>
      <w:r w:rsidR="00A66252" w:rsidRPr="00A66252">
        <w:rPr>
          <w:bCs/>
          <w:lang w:val="fr-FR"/>
        </w:rPr>
        <w:t>’</w:t>
      </w:r>
      <w:r w:rsidRPr="00A66252">
        <w:rPr>
          <w:bCs/>
          <w:lang w:val="fr-FR"/>
        </w:rPr>
        <w:t xml:space="preserve">espèce dépasse donc la situation particulière du requérant, </w:t>
      </w:r>
      <w:r w:rsidRPr="00A66252">
        <w:rPr>
          <w:bCs/>
          <w:lang w:val="fr-FR"/>
        </w:rPr>
        <w:lastRenderedPageBreak/>
        <w:t>contrairement à la plupart des affaires d</w:t>
      </w:r>
      <w:r w:rsidR="00A66252" w:rsidRPr="00A66252">
        <w:rPr>
          <w:bCs/>
          <w:lang w:val="fr-FR"/>
        </w:rPr>
        <w:t>’</w:t>
      </w:r>
      <w:r w:rsidRPr="00A66252">
        <w:rPr>
          <w:bCs/>
          <w:lang w:val="fr-FR"/>
        </w:rPr>
        <w:t>expulsion semblables qui sont examinées par une chambre</w:t>
      </w:r>
      <w:r w:rsidR="002A5A1A" w:rsidRPr="00A66252">
        <w:rPr>
          <w:bCs/>
          <w:lang w:val="fr-FR"/>
        </w:rPr>
        <w:t xml:space="preserve"> (comparer, </w:t>
      </w:r>
      <w:r w:rsidR="002A5A1A" w:rsidRPr="00A66252">
        <w:rPr>
          <w:bCs/>
          <w:i/>
          <w:lang w:val="fr-FR"/>
        </w:rPr>
        <w:t>F.G. c. Su</w:t>
      </w:r>
      <w:r w:rsidR="002A5A1A" w:rsidRPr="00A66252">
        <w:rPr>
          <w:rFonts w:cstheme="minorHAnsi"/>
          <w:bCs/>
          <w:i/>
          <w:lang w:val="fr-FR"/>
        </w:rPr>
        <w:t>è</w:t>
      </w:r>
      <w:r w:rsidR="002A5A1A" w:rsidRPr="00A66252">
        <w:rPr>
          <w:bCs/>
          <w:i/>
          <w:lang w:val="fr-FR"/>
        </w:rPr>
        <w:t>de</w:t>
      </w:r>
      <w:r w:rsidR="002A5A1A" w:rsidRPr="00A66252">
        <w:rPr>
          <w:bCs/>
          <w:lang w:val="fr-FR"/>
        </w:rPr>
        <w:t xml:space="preserve"> [GC], </w:t>
      </w:r>
      <w:r w:rsidR="00E50FFB" w:rsidRPr="00A66252">
        <w:rPr>
          <w:lang w:val="fr-FR"/>
        </w:rPr>
        <w:t>n</w:t>
      </w:r>
      <w:r w:rsidR="00E50FFB" w:rsidRPr="00A66252">
        <w:rPr>
          <w:vertAlign w:val="superscript"/>
          <w:lang w:val="fr-FR"/>
        </w:rPr>
        <w:t>o</w:t>
      </w:r>
      <w:r w:rsidR="00E50FFB" w:rsidRPr="00A66252">
        <w:rPr>
          <w:lang w:val="fr-FR"/>
        </w:rPr>
        <w:t xml:space="preserve"> 43611/11, </w:t>
      </w:r>
      <w:r w:rsidR="00E50FFB" w:rsidRPr="00A66252">
        <w:rPr>
          <w:rFonts w:cstheme="minorHAnsi"/>
          <w:lang w:val="fr-FR"/>
        </w:rPr>
        <w:t>§</w:t>
      </w:r>
      <w:r w:rsidR="00B32D6C" w:rsidRPr="00A66252">
        <w:rPr>
          <w:lang w:val="fr-FR"/>
        </w:rPr>
        <w:t> </w:t>
      </w:r>
      <w:r w:rsidR="00E50FFB" w:rsidRPr="00A66252">
        <w:rPr>
          <w:lang w:val="fr-FR"/>
        </w:rPr>
        <w:t>82, CEDH 2016)</w:t>
      </w:r>
      <w:r w:rsidRPr="00A66252">
        <w:rPr>
          <w:bCs/>
          <w:lang w:val="fr-FR"/>
        </w:rPr>
        <w:t>.</w:t>
      </w:r>
    </w:p>
    <w:bookmarkStart w:id="30" w:name="ART371CONCL"/>
    <w:p w:rsidR="000E7F7A" w:rsidRPr="00A66252" w:rsidRDefault="00CF4798" w:rsidP="00A66252">
      <w:pPr>
        <w:pStyle w:val="ECHRPara"/>
        <w:rPr>
          <w:bCs/>
          <w:lang w:val="fr-FR"/>
        </w:rPr>
      </w:pPr>
      <w:r w:rsidRPr="00A66252">
        <w:rPr>
          <w:bCs/>
          <w:lang w:val="fr-FR"/>
        </w:rPr>
        <w:fldChar w:fldCharType="begin"/>
      </w:r>
      <w:r w:rsidRPr="00A66252">
        <w:rPr>
          <w:bCs/>
          <w:lang w:val="fr-FR"/>
        </w:rPr>
        <w:instrText xml:space="preserve"> SEQ level0 \*arabic </w:instrText>
      </w:r>
      <w:r w:rsidRPr="00A66252">
        <w:rPr>
          <w:bCs/>
          <w:lang w:val="fr-FR"/>
        </w:rPr>
        <w:fldChar w:fldCharType="separate"/>
      </w:r>
      <w:r w:rsidR="00A66252" w:rsidRPr="00A66252">
        <w:rPr>
          <w:bCs/>
          <w:noProof/>
          <w:lang w:val="fr-FR"/>
        </w:rPr>
        <w:t>133</w:t>
      </w:r>
      <w:r w:rsidRPr="00A66252">
        <w:rPr>
          <w:bCs/>
          <w:lang w:val="fr-FR"/>
        </w:rPr>
        <w:fldChar w:fldCharType="end"/>
      </w:r>
      <w:bookmarkEnd w:id="30"/>
      <w:r w:rsidRPr="00A66252">
        <w:rPr>
          <w:bCs/>
          <w:lang w:val="fr-FR"/>
        </w:rPr>
        <w:t>.  </w:t>
      </w:r>
      <w:r w:rsidR="00022A40" w:rsidRPr="00A66252">
        <w:rPr>
          <w:bCs/>
          <w:lang w:val="fr-FR"/>
        </w:rPr>
        <w:t>Eu égard à ce qui précède</w:t>
      </w:r>
      <w:r w:rsidR="000E7F7A" w:rsidRPr="00A66252">
        <w:rPr>
          <w:bCs/>
          <w:lang w:val="fr-FR"/>
        </w:rPr>
        <w:t>, la Cour estime que des circonstances spéciales touchant au respect des droits de l</w:t>
      </w:r>
      <w:r w:rsidR="00A66252" w:rsidRPr="00A66252">
        <w:rPr>
          <w:bCs/>
          <w:lang w:val="fr-FR"/>
        </w:rPr>
        <w:t>’</w:t>
      </w:r>
      <w:r w:rsidR="000E7F7A" w:rsidRPr="00A66252">
        <w:rPr>
          <w:bCs/>
          <w:lang w:val="fr-FR"/>
        </w:rPr>
        <w:t>homme garantis par la Convention et ses Protocoles exigent qu</w:t>
      </w:r>
      <w:r w:rsidR="00A66252" w:rsidRPr="00A66252">
        <w:rPr>
          <w:bCs/>
          <w:lang w:val="fr-FR"/>
        </w:rPr>
        <w:t>’</w:t>
      </w:r>
      <w:r w:rsidR="000E7F7A" w:rsidRPr="00A66252">
        <w:rPr>
          <w:bCs/>
          <w:lang w:val="fr-FR"/>
        </w:rPr>
        <w:t>elle poursuive l</w:t>
      </w:r>
      <w:r w:rsidR="00A66252" w:rsidRPr="00A66252">
        <w:rPr>
          <w:bCs/>
          <w:lang w:val="fr-FR"/>
        </w:rPr>
        <w:t>’</w:t>
      </w:r>
      <w:r w:rsidR="000E7F7A" w:rsidRPr="00A66252">
        <w:rPr>
          <w:bCs/>
          <w:lang w:val="fr-FR"/>
        </w:rPr>
        <w:t>examen de la requête</w:t>
      </w:r>
      <w:r w:rsidR="00E50FFB" w:rsidRPr="00A66252">
        <w:rPr>
          <w:bCs/>
          <w:lang w:val="fr-FR"/>
        </w:rPr>
        <w:t xml:space="preserve"> conformément à l</w:t>
      </w:r>
      <w:r w:rsidR="00A66252" w:rsidRPr="00A66252">
        <w:rPr>
          <w:bCs/>
          <w:lang w:val="fr-FR"/>
        </w:rPr>
        <w:t>’</w:t>
      </w:r>
      <w:r w:rsidR="00E50FFB" w:rsidRPr="00A66252">
        <w:rPr>
          <w:bCs/>
          <w:lang w:val="fr-FR"/>
        </w:rPr>
        <w:t xml:space="preserve">article 37 § 1 </w:t>
      </w:r>
      <w:r w:rsidR="00E50FFB" w:rsidRPr="00A66252">
        <w:rPr>
          <w:bCs/>
          <w:i/>
          <w:lang w:val="fr-FR"/>
        </w:rPr>
        <w:t>in fine</w:t>
      </w:r>
      <w:r w:rsidR="00E50FFB" w:rsidRPr="00A66252">
        <w:rPr>
          <w:bCs/>
          <w:lang w:val="fr-FR"/>
        </w:rPr>
        <w:t xml:space="preserve"> de la Convention</w:t>
      </w:r>
      <w:r w:rsidR="00464C67" w:rsidRPr="00A66252">
        <w:rPr>
          <w:bCs/>
          <w:lang w:val="fr-FR"/>
        </w:rPr>
        <w:t>.</w:t>
      </w:r>
    </w:p>
    <w:p w:rsidR="0000076E" w:rsidRPr="00A66252" w:rsidRDefault="0000076E" w:rsidP="00A66252">
      <w:pPr>
        <w:pStyle w:val="ECHRHeading1"/>
        <w:rPr>
          <w:lang w:val="fr-FR"/>
        </w:rPr>
      </w:pPr>
      <w:r w:rsidRPr="00A66252">
        <w:rPr>
          <w:lang w:val="fr-FR"/>
        </w:rPr>
        <w:t>I</w:t>
      </w:r>
      <w:r w:rsidR="00F91AEA" w:rsidRPr="00A66252">
        <w:rPr>
          <w:lang w:val="fr-FR"/>
        </w:rPr>
        <w:t>I</w:t>
      </w:r>
      <w:r w:rsidRPr="00A66252">
        <w:rPr>
          <w:lang w:val="fr-FR"/>
        </w:rPr>
        <w:t>.  SUR LA VIOLATION ALLÉGUÉE DE</w:t>
      </w:r>
      <w:r w:rsidR="006B0EC6" w:rsidRPr="00A66252">
        <w:rPr>
          <w:lang w:val="fr-FR"/>
        </w:rPr>
        <w:t>S</w:t>
      </w:r>
      <w:r w:rsidRPr="00A66252">
        <w:rPr>
          <w:lang w:val="fr-FR"/>
        </w:rPr>
        <w:t xml:space="preserve"> ARTICLE</w:t>
      </w:r>
      <w:r w:rsidR="006B0EC6" w:rsidRPr="00A66252">
        <w:rPr>
          <w:lang w:val="fr-FR"/>
        </w:rPr>
        <w:t>S</w:t>
      </w:r>
      <w:r w:rsidRPr="00A66252">
        <w:rPr>
          <w:lang w:val="fr-FR"/>
        </w:rPr>
        <w:t xml:space="preserve"> </w:t>
      </w:r>
      <w:r w:rsidR="006B0EC6" w:rsidRPr="00A66252">
        <w:rPr>
          <w:lang w:val="fr-FR"/>
        </w:rPr>
        <w:t xml:space="preserve">2 ET </w:t>
      </w:r>
      <w:r w:rsidR="006600EE" w:rsidRPr="00A66252">
        <w:rPr>
          <w:lang w:val="fr-FR"/>
        </w:rPr>
        <w:t>3 DE LA CONVENTION</w:t>
      </w:r>
    </w:p>
    <w:p w:rsidR="006B0EC6" w:rsidRPr="00A66252" w:rsidRDefault="00E10C6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134</w:t>
      </w:r>
      <w:r w:rsidRPr="00A66252">
        <w:rPr>
          <w:lang w:val="fr-FR"/>
        </w:rPr>
        <w:fldChar w:fldCharType="end"/>
      </w:r>
      <w:r w:rsidRPr="00A66252">
        <w:rPr>
          <w:lang w:val="fr-FR"/>
        </w:rPr>
        <w:t>.  </w:t>
      </w:r>
      <w:r w:rsidR="006B0EC6" w:rsidRPr="00A66252">
        <w:rPr>
          <w:lang w:val="fr-FR"/>
        </w:rPr>
        <w:t>Le requérant all</w:t>
      </w:r>
      <w:r w:rsidR="00E226A1" w:rsidRPr="00A66252">
        <w:rPr>
          <w:lang w:val="fr-FR"/>
        </w:rPr>
        <w:t>é</w:t>
      </w:r>
      <w:r w:rsidR="006B0EC6" w:rsidRPr="00A66252">
        <w:rPr>
          <w:lang w:val="fr-FR"/>
        </w:rPr>
        <w:t>gu</w:t>
      </w:r>
      <w:r w:rsidR="00E226A1" w:rsidRPr="00A66252">
        <w:rPr>
          <w:lang w:val="fr-FR"/>
        </w:rPr>
        <w:t>ait</w:t>
      </w:r>
      <w:r w:rsidR="006B0EC6" w:rsidRPr="00A66252">
        <w:rPr>
          <w:lang w:val="fr-FR"/>
        </w:rPr>
        <w:t xml:space="preserve"> qu</w:t>
      </w:r>
      <w:r w:rsidR="00A66252" w:rsidRPr="00A66252">
        <w:rPr>
          <w:lang w:val="fr-FR"/>
        </w:rPr>
        <w:t>’</w:t>
      </w:r>
      <w:r w:rsidR="006B0EC6" w:rsidRPr="00A66252">
        <w:rPr>
          <w:lang w:val="fr-FR"/>
        </w:rPr>
        <w:t>il y a</w:t>
      </w:r>
      <w:r w:rsidRPr="00A66252">
        <w:rPr>
          <w:lang w:val="fr-FR"/>
        </w:rPr>
        <w:t>vait</w:t>
      </w:r>
      <w:r w:rsidR="006B0EC6" w:rsidRPr="00A66252">
        <w:rPr>
          <w:lang w:val="fr-FR"/>
        </w:rPr>
        <w:t xml:space="preserve"> des motifs sérieux et avérés de croire que, si on l</w:t>
      </w:r>
      <w:r w:rsidR="00A66252" w:rsidRPr="00A66252">
        <w:rPr>
          <w:lang w:val="fr-FR"/>
        </w:rPr>
        <w:t>’</w:t>
      </w:r>
      <w:r w:rsidR="00E226A1" w:rsidRPr="00A66252">
        <w:rPr>
          <w:lang w:val="fr-FR"/>
        </w:rPr>
        <w:t xml:space="preserve">avait </w:t>
      </w:r>
      <w:r w:rsidR="006B0EC6" w:rsidRPr="00A66252">
        <w:rPr>
          <w:lang w:val="fr-FR"/>
        </w:rPr>
        <w:t>expuls</w:t>
      </w:r>
      <w:r w:rsidR="00E226A1" w:rsidRPr="00A66252">
        <w:rPr>
          <w:lang w:val="fr-FR"/>
        </w:rPr>
        <w:t>é</w:t>
      </w:r>
      <w:r w:rsidR="006B0EC6" w:rsidRPr="00A66252">
        <w:rPr>
          <w:lang w:val="fr-FR"/>
        </w:rPr>
        <w:t xml:space="preserve"> vers la Géorgie, il y </w:t>
      </w:r>
      <w:r w:rsidR="00E226A1" w:rsidRPr="00A66252">
        <w:rPr>
          <w:lang w:val="fr-FR"/>
        </w:rPr>
        <w:t xml:space="preserve">aurait </w:t>
      </w:r>
      <w:r w:rsidR="00F7184B" w:rsidRPr="00A66252">
        <w:rPr>
          <w:lang w:val="fr-FR"/>
        </w:rPr>
        <w:t>cou</w:t>
      </w:r>
      <w:r w:rsidR="006B0EC6" w:rsidRPr="00A66252">
        <w:rPr>
          <w:lang w:val="fr-FR"/>
        </w:rPr>
        <w:t>r</w:t>
      </w:r>
      <w:r w:rsidR="00E226A1" w:rsidRPr="00A66252">
        <w:rPr>
          <w:lang w:val="fr-FR"/>
        </w:rPr>
        <w:t>u</w:t>
      </w:r>
      <w:r w:rsidR="006B0EC6" w:rsidRPr="00A66252">
        <w:rPr>
          <w:lang w:val="fr-FR"/>
        </w:rPr>
        <w:t xml:space="preserve"> un risque réel d</w:t>
      </w:r>
      <w:r w:rsidR="00A66252" w:rsidRPr="00A66252">
        <w:rPr>
          <w:lang w:val="fr-FR"/>
        </w:rPr>
        <w:t>’</w:t>
      </w:r>
      <w:r w:rsidR="006B0EC6" w:rsidRPr="00A66252">
        <w:rPr>
          <w:lang w:val="fr-FR"/>
        </w:rPr>
        <w:t>être soumis à des traitements inhumains et dégradants contraires à l</w:t>
      </w:r>
      <w:r w:rsidR="00A66252" w:rsidRPr="00A66252">
        <w:rPr>
          <w:lang w:val="fr-FR"/>
        </w:rPr>
        <w:t>’</w:t>
      </w:r>
      <w:r w:rsidR="006B0EC6" w:rsidRPr="00A66252">
        <w:rPr>
          <w:lang w:val="fr-FR"/>
        </w:rPr>
        <w:t xml:space="preserve">article 3 de la Convention et </w:t>
      </w:r>
      <w:r w:rsidR="00CE3B71" w:rsidRPr="00A66252">
        <w:rPr>
          <w:lang w:val="fr-FR"/>
        </w:rPr>
        <w:t xml:space="preserve">de se voir </w:t>
      </w:r>
      <w:r w:rsidR="000921AF" w:rsidRPr="00A66252">
        <w:rPr>
          <w:lang w:val="fr-FR"/>
        </w:rPr>
        <w:t xml:space="preserve">exposé </w:t>
      </w:r>
      <w:r w:rsidR="006B0EC6" w:rsidRPr="00A66252">
        <w:rPr>
          <w:lang w:val="fr-FR"/>
        </w:rPr>
        <w:t>à une mort prématurée</w:t>
      </w:r>
      <w:r w:rsidR="000921AF" w:rsidRPr="00A66252">
        <w:rPr>
          <w:lang w:val="fr-FR"/>
        </w:rPr>
        <w:t>,</w:t>
      </w:r>
      <w:r w:rsidR="006B0EC6" w:rsidRPr="00A66252">
        <w:rPr>
          <w:lang w:val="fr-FR"/>
        </w:rPr>
        <w:t xml:space="preserve"> en violation de l</w:t>
      </w:r>
      <w:r w:rsidR="00A66252" w:rsidRPr="00A66252">
        <w:rPr>
          <w:lang w:val="fr-FR"/>
        </w:rPr>
        <w:t>’</w:t>
      </w:r>
      <w:r w:rsidR="006B0EC6" w:rsidRPr="00A66252">
        <w:rPr>
          <w:lang w:val="fr-FR"/>
        </w:rPr>
        <w:t>article 2. Ces dispositions sont ainsi libellées</w:t>
      </w:r>
      <w:r w:rsidR="006600EE" w:rsidRPr="00A66252">
        <w:rPr>
          <w:lang w:val="fr-FR"/>
        </w:rPr>
        <w:t> </w:t>
      </w:r>
      <w:r w:rsidR="006B0EC6" w:rsidRPr="00A66252">
        <w:rPr>
          <w:lang w:val="fr-FR"/>
        </w:rPr>
        <w:t>:</w:t>
      </w:r>
    </w:p>
    <w:p w:rsidR="006B0EC6" w:rsidRPr="00A66252" w:rsidRDefault="006B0EC6" w:rsidP="00A66252">
      <w:pPr>
        <w:pStyle w:val="ECHRTitleCentre3"/>
        <w:rPr>
          <w:lang w:val="fr-FR"/>
        </w:rPr>
      </w:pPr>
      <w:r w:rsidRPr="00A66252">
        <w:rPr>
          <w:lang w:val="fr-FR"/>
        </w:rPr>
        <w:t>Article 2</w:t>
      </w:r>
    </w:p>
    <w:p w:rsidR="006B0EC6" w:rsidRPr="00A66252" w:rsidRDefault="00C93FE5" w:rsidP="00A66252">
      <w:pPr>
        <w:pStyle w:val="ECHRParaQuote"/>
        <w:rPr>
          <w:lang w:val="fr-FR"/>
        </w:rPr>
      </w:pPr>
      <w:r w:rsidRPr="00A66252">
        <w:rPr>
          <w:lang w:val="fr-FR"/>
        </w:rPr>
        <w:t>« </w:t>
      </w:r>
      <w:r w:rsidR="006600EE" w:rsidRPr="00A66252">
        <w:rPr>
          <w:lang w:val="fr-FR"/>
        </w:rPr>
        <w:t>1.  </w:t>
      </w:r>
      <w:r w:rsidR="006B0EC6" w:rsidRPr="00A66252">
        <w:rPr>
          <w:lang w:val="fr-FR"/>
        </w:rPr>
        <w:t>Le droit de toute personne à la vie est protégé par la loi. La mort ne peut être infligée à quiconque intentionnellement, sauf en exécution d</w:t>
      </w:r>
      <w:r w:rsidR="00A66252" w:rsidRPr="00A66252">
        <w:rPr>
          <w:lang w:val="fr-FR"/>
        </w:rPr>
        <w:t>’</w:t>
      </w:r>
      <w:r w:rsidR="006B0EC6" w:rsidRPr="00A66252">
        <w:rPr>
          <w:lang w:val="fr-FR"/>
        </w:rPr>
        <w:t>une sentence capitale prononcée par un tribunal au cas où le délit est puni de cette peine par la loi.</w:t>
      </w:r>
    </w:p>
    <w:p w:rsidR="006B0EC6" w:rsidRPr="00A66252" w:rsidRDefault="00C93FE5" w:rsidP="00A66252">
      <w:pPr>
        <w:pStyle w:val="ECHRParaQuote"/>
        <w:rPr>
          <w:lang w:val="fr-FR"/>
        </w:rPr>
      </w:pPr>
      <w:r w:rsidRPr="00A66252">
        <w:rPr>
          <w:lang w:val="fr-FR"/>
        </w:rPr>
        <w:t>... </w:t>
      </w:r>
      <w:r w:rsidR="006B0EC6" w:rsidRPr="00A66252">
        <w:rPr>
          <w:lang w:val="fr-FR"/>
        </w:rPr>
        <w:t>»</w:t>
      </w:r>
    </w:p>
    <w:p w:rsidR="006B0EC6" w:rsidRPr="00A66252" w:rsidRDefault="006B0EC6" w:rsidP="00A66252">
      <w:pPr>
        <w:pStyle w:val="ECHRTitleCentre3"/>
        <w:rPr>
          <w:lang w:val="fr-FR"/>
        </w:rPr>
      </w:pPr>
      <w:r w:rsidRPr="00A66252">
        <w:rPr>
          <w:lang w:val="fr-FR"/>
        </w:rPr>
        <w:t>Article 3</w:t>
      </w:r>
    </w:p>
    <w:p w:rsidR="006B0EC6" w:rsidRPr="00A66252" w:rsidRDefault="00C93FE5" w:rsidP="00A66252">
      <w:pPr>
        <w:pStyle w:val="ECHRParaQuote"/>
        <w:rPr>
          <w:lang w:val="fr-FR"/>
        </w:rPr>
      </w:pPr>
      <w:r w:rsidRPr="00A66252">
        <w:rPr>
          <w:lang w:val="fr-FR"/>
        </w:rPr>
        <w:t>« </w:t>
      </w:r>
      <w:r w:rsidR="006B0EC6" w:rsidRPr="00A66252">
        <w:rPr>
          <w:lang w:val="fr-FR"/>
        </w:rPr>
        <w:t>Nul ne peut être soumis à la torture ni à des peines ou trait</w:t>
      </w:r>
      <w:r w:rsidRPr="00A66252">
        <w:rPr>
          <w:lang w:val="fr-FR"/>
        </w:rPr>
        <w:t>ements inhumains ou dégradants. </w:t>
      </w:r>
      <w:r w:rsidR="006B0EC6" w:rsidRPr="00A66252">
        <w:rPr>
          <w:lang w:val="fr-FR"/>
        </w:rPr>
        <w:t>»</w:t>
      </w:r>
    </w:p>
    <w:p w:rsidR="00200203" w:rsidRPr="00A66252" w:rsidRDefault="00200203" w:rsidP="00A66252">
      <w:pPr>
        <w:pStyle w:val="ECHRHeading2"/>
        <w:rPr>
          <w:lang w:val="fr-FR"/>
        </w:rPr>
      </w:pPr>
      <w:r w:rsidRPr="00A66252">
        <w:rPr>
          <w:lang w:val="fr-FR"/>
        </w:rPr>
        <w:t>A.</w:t>
      </w:r>
      <w:r w:rsidR="00C93FE5" w:rsidRPr="00A66252">
        <w:rPr>
          <w:lang w:val="fr-FR"/>
        </w:rPr>
        <w:t>  </w:t>
      </w:r>
      <w:r w:rsidRPr="00A66252">
        <w:rPr>
          <w:lang w:val="fr-FR"/>
        </w:rPr>
        <w:t>L</w:t>
      </w:r>
      <w:r w:rsidR="00A66252" w:rsidRPr="00A66252">
        <w:rPr>
          <w:lang w:val="fr-FR"/>
        </w:rPr>
        <w:t>’</w:t>
      </w:r>
      <w:r w:rsidRPr="00A66252">
        <w:rPr>
          <w:lang w:val="fr-FR"/>
        </w:rPr>
        <w:t>arrêt de chambre</w:t>
      </w:r>
    </w:p>
    <w:p w:rsidR="00A17D8F" w:rsidRPr="00A66252" w:rsidRDefault="006B0EC6" w:rsidP="00A66252">
      <w:pPr>
        <w:pStyle w:val="ECHRPara"/>
        <w:rPr>
          <w:szCs w:val="24"/>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135</w:t>
      </w:r>
      <w:r w:rsidRPr="00A66252">
        <w:rPr>
          <w:lang w:val="fr-FR"/>
        </w:rPr>
        <w:fldChar w:fldCharType="end"/>
      </w:r>
      <w:r w:rsidRPr="00A66252">
        <w:rPr>
          <w:lang w:val="fr-FR"/>
        </w:rPr>
        <w:t>.  </w:t>
      </w:r>
      <w:r w:rsidR="00ED7F4E" w:rsidRPr="00A66252">
        <w:rPr>
          <w:szCs w:val="24"/>
          <w:lang w:val="fr-FR"/>
        </w:rPr>
        <w:t>La chambre commença par examiner si le renvoi du requérant vers la Géorgie violerait l</w:t>
      </w:r>
      <w:r w:rsidR="00A66252" w:rsidRPr="00A66252">
        <w:rPr>
          <w:szCs w:val="24"/>
          <w:lang w:val="fr-FR"/>
        </w:rPr>
        <w:t>’</w:t>
      </w:r>
      <w:r w:rsidR="00ED7F4E" w:rsidRPr="00A66252">
        <w:rPr>
          <w:szCs w:val="24"/>
          <w:lang w:val="fr-FR"/>
        </w:rPr>
        <w:t>article 3 de la Convention</w:t>
      </w:r>
      <w:r w:rsidR="00A17D8F" w:rsidRPr="00A66252">
        <w:rPr>
          <w:szCs w:val="24"/>
          <w:lang w:val="fr-FR"/>
        </w:rPr>
        <w:t xml:space="preserve"> (§§ 117-126)</w:t>
      </w:r>
      <w:r w:rsidR="006600EE" w:rsidRPr="00A66252">
        <w:rPr>
          <w:szCs w:val="24"/>
          <w:lang w:val="fr-FR"/>
        </w:rPr>
        <w:t>.</w:t>
      </w:r>
    </w:p>
    <w:p w:rsidR="00ED7F4E" w:rsidRPr="00A66252" w:rsidRDefault="00A17D8F"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136</w:t>
      </w:r>
      <w:r w:rsidRPr="00A66252">
        <w:rPr>
          <w:szCs w:val="24"/>
          <w:lang w:val="fr-FR"/>
        </w:rPr>
        <w:fldChar w:fldCharType="end"/>
      </w:r>
      <w:r w:rsidRPr="00A66252">
        <w:rPr>
          <w:szCs w:val="24"/>
          <w:lang w:val="fr-FR"/>
        </w:rPr>
        <w:t>.  </w:t>
      </w:r>
      <w:r w:rsidR="00ED7F4E" w:rsidRPr="00A66252">
        <w:rPr>
          <w:szCs w:val="24"/>
          <w:lang w:val="fr-FR"/>
        </w:rPr>
        <w:t xml:space="preserve">Elle rappela que, selon la jurisprudence </w:t>
      </w:r>
      <w:r w:rsidR="00ED7F4E" w:rsidRPr="00A66252">
        <w:rPr>
          <w:i/>
          <w:iCs/>
          <w:szCs w:val="24"/>
          <w:lang w:val="fr-FR"/>
        </w:rPr>
        <w:t>N</w:t>
      </w:r>
      <w:r w:rsidR="00ED7F4E" w:rsidRPr="00A66252">
        <w:rPr>
          <w:szCs w:val="24"/>
          <w:lang w:val="fr-FR"/>
        </w:rPr>
        <w:t xml:space="preserve">. </w:t>
      </w:r>
      <w:r w:rsidR="001A3877" w:rsidRPr="00A66252">
        <w:rPr>
          <w:i/>
          <w:szCs w:val="24"/>
          <w:lang w:val="fr-FR"/>
        </w:rPr>
        <w:t>c. Royaume-Uni</w:t>
      </w:r>
      <w:r w:rsidR="001A3877" w:rsidRPr="00A66252">
        <w:rPr>
          <w:szCs w:val="24"/>
          <w:lang w:val="fr-FR"/>
        </w:rPr>
        <w:t xml:space="preserve"> </w:t>
      </w:r>
      <w:r w:rsidR="00743A7B" w:rsidRPr="00A66252">
        <w:rPr>
          <w:lang w:val="fr-FR"/>
        </w:rPr>
        <w:t>[GC] (n</w:t>
      </w:r>
      <w:r w:rsidR="009472B8" w:rsidRPr="00A66252">
        <w:rPr>
          <w:vertAlign w:val="superscript"/>
          <w:lang w:val="fr-FR"/>
        </w:rPr>
        <w:t>o</w:t>
      </w:r>
      <w:r w:rsidR="00743A7B" w:rsidRPr="00A66252">
        <w:rPr>
          <w:lang w:val="fr-FR"/>
        </w:rPr>
        <w:t xml:space="preserve"> 26565/05, CEDH 2008)</w:t>
      </w:r>
      <w:r w:rsidR="00ED7F4E" w:rsidRPr="00A66252">
        <w:rPr>
          <w:szCs w:val="24"/>
          <w:lang w:val="fr-FR"/>
        </w:rPr>
        <w:t>, l</w:t>
      </w:r>
      <w:r w:rsidR="00A66252" w:rsidRPr="00A66252">
        <w:rPr>
          <w:szCs w:val="24"/>
          <w:lang w:val="fr-FR"/>
        </w:rPr>
        <w:t>’</w:t>
      </w:r>
      <w:r w:rsidR="00ED7F4E" w:rsidRPr="00A66252">
        <w:rPr>
          <w:szCs w:val="24"/>
          <w:lang w:val="fr-FR"/>
        </w:rPr>
        <w:t>article</w:t>
      </w:r>
      <w:r w:rsidR="006600EE" w:rsidRPr="00A66252">
        <w:rPr>
          <w:szCs w:val="24"/>
          <w:lang w:val="fr-FR"/>
        </w:rPr>
        <w:t xml:space="preserve"> </w:t>
      </w:r>
      <w:r w:rsidR="00ED7F4E" w:rsidRPr="00A66252">
        <w:rPr>
          <w:szCs w:val="24"/>
          <w:lang w:val="fr-FR"/>
        </w:rPr>
        <w:t>3 ne protégeait un étranger malade contre l</w:t>
      </w:r>
      <w:r w:rsidR="00A66252" w:rsidRPr="00A66252">
        <w:rPr>
          <w:szCs w:val="24"/>
          <w:lang w:val="fr-FR"/>
        </w:rPr>
        <w:t>’</w:t>
      </w:r>
      <w:r w:rsidR="00ED7F4E" w:rsidRPr="00A66252">
        <w:rPr>
          <w:szCs w:val="24"/>
          <w:lang w:val="fr-FR"/>
        </w:rPr>
        <w:t>expulsion que dans des cas très exceptionnels, lorsque les considérations humanitaires militant contre l</w:t>
      </w:r>
      <w:r w:rsidR="00A66252" w:rsidRPr="00A66252">
        <w:rPr>
          <w:szCs w:val="24"/>
          <w:lang w:val="fr-FR"/>
        </w:rPr>
        <w:t>’</w:t>
      </w:r>
      <w:r w:rsidR="00ED7F4E" w:rsidRPr="00A66252">
        <w:rPr>
          <w:szCs w:val="24"/>
          <w:lang w:val="fr-FR"/>
        </w:rPr>
        <w:t>expulsion sont impérieuses. Ne constituent pas de telles considérations le fait qu</w:t>
      </w:r>
      <w:r w:rsidR="00A66252" w:rsidRPr="00A66252">
        <w:rPr>
          <w:szCs w:val="24"/>
          <w:lang w:val="fr-FR"/>
        </w:rPr>
        <w:t>’</w:t>
      </w:r>
      <w:r w:rsidR="00ED7F4E" w:rsidRPr="00A66252">
        <w:rPr>
          <w:szCs w:val="24"/>
          <w:lang w:val="fr-FR"/>
        </w:rPr>
        <w:t>en cas d</w:t>
      </w:r>
      <w:r w:rsidR="00A66252" w:rsidRPr="00A66252">
        <w:rPr>
          <w:szCs w:val="24"/>
          <w:lang w:val="fr-FR"/>
        </w:rPr>
        <w:t>’</w:t>
      </w:r>
      <w:r w:rsidR="00ED7F4E" w:rsidRPr="00A66252">
        <w:rPr>
          <w:szCs w:val="24"/>
          <w:lang w:val="fr-FR"/>
        </w:rPr>
        <w:t>expulsion, l</w:t>
      </w:r>
      <w:r w:rsidR="00A66252" w:rsidRPr="00A66252">
        <w:rPr>
          <w:szCs w:val="24"/>
          <w:lang w:val="fr-FR"/>
        </w:rPr>
        <w:t>’</w:t>
      </w:r>
      <w:r w:rsidR="00ED7F4E" w:rsidRPr="00A66252">
        <w:rPr>
          <w:szCs w:val="24"/>
          <w:lang w:val="fr-FR"/>
        </w:rPr>
        <w:t>étranger connaîtrait une dégradation importante de sa situation, et notamment une réduction significative de son espérance de vie. En l</w:t>
      </w:r>
      <w:r w:rsidR="00A66252" w:rsidRPr="00A66252">
        <w:rPr>
          <w:szCs w:val="24"/>
          <w:lang w:val="fr-FR"/>
        </w:rPr>
        <w:t>’</w:t>
      </w:r>
      <w:r w:rsidR="00ED7F4E" w:rsidRPr="00A66252">
        <w:rPr>
          <w:szCs w:val="24"/>
          <w:lang w:val="fr-FR"/>
        </w:rPr>
        <w:t>espèce, les pathologies dont souffrait le requérant étaient sous contrôle et stabilisées en raison des traitements reçus en Belgique, il était apte à voyager et il n</w:t>
      </w:r>
      <w:r w:rsidR="00A66252" w:rsidRPr="00A66252">
        <w:rPr>
          <w:szCs w:val="24"/>
          <w:lang w:val="fr-FR"/>
        </w:rPr>
        <w:t>’</w:t>
      </w:r>
      <w:r w:rsidR="00ED7F4E" w:rsidRPr="00A66252">
        <w:rPr>
          <w:szCs w:val="24"/>
          <w:lang w:val="fr-FR"/>
        </w:rPr>
        <w:t>y avait pas de menace imminente pour sa vie.</w:t>
      </w:r>
    </w:p>
    <w:p w:rsidR="00A66252" w:rsidRPr="00A66252" w:rsidRDefault="00ED7F4E"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137</w:t>
      </w:r>
      <w:r w:rsidRPr="00A66252">
        <w:rPr>
          <w:szCs w:val="24"/>
          <w:lang w:val="fr-FR"/>
        </w:rPr>
        <w:fldChar w:fldCharType="end"/>
      </w:r>
      <w:r w:rsidRPr="00A66252">
        <w:rPr>
          <w:szCs w:val="24"/>
          <w:lang w:val="fr-FR"/>
        </w:rPr>
        <w:t>.  La chambre constata que des médicaments destinés à traiter les pathologies dont souffre le requérant existaient en Géorgie. Elle admit que leur accessibilité n</w:t>
      </w:r>
      <w:r w:rsidR="00A66252" w:rsidRPr="00A66252">
        <w:rPr>
          <w:szCs w:val="24"/>
          <w:lang w:val="fr-FR"/>
        </w:rPr>
        <w:t>’</w:t>
      </w:r>
      <w:r w:rsidRPr="00A66252">
        <w:rPr>
          <w:szCs w:val="24"/>
          <w:lang w:val="fr-FR"/>
        </w:rPr>
        <w:t xml:space="preserve">était pas garantie et que, faute de ressources suffisantes, </w:t>
      </w:r>
      <w:r w:rsidRPr="00A66252">
        <w:rPr>
          <w:szCs w:val="24"/>
          <w:lang w:val="fr-FR"/>
        </w:rPr>
        <w:lastRenderedPageBreak/>
        <w:t>toutes les personnes qui en avaient besoin ne bénéficiaient pas de l</w:t>
      </w:r>
      <w:r w:rsidR="00A66252" w:rsidRPr="00A66252">
        <w:rPr>
          <w:szCs w:val="24"/>
          <w:lang w:val="fr-FR"/>
        </w:rPr>
        <w:t>’</w:t>
      </w:r>
      <w:r w:rsidRPr="00A66252">
        <w:rPr>
          <w:szCs w:val="24"/>
          <w:lang w:val="fr-FR"/>
        </w:rPr>
        <w:t>ensemble de ces médicaments et traitements</w:t>
      </w:r>
      <w:r w:rsidRPr="00A66252">
        <w:rPr>
          <w:i/>
          <w:szCs w:val="24"/>
          <w:lang w:val="fr-FR"/>
        </w:rPr>
        <w:t>.</w:t>
      </w:r>
      <w:r w:rsidRPr="00A66252">
        <w:rPr>
          <w:szCs w:val="24"/>
          <w:lang w:val="fr-FR"/>
        </w:rPr>
        <w:t xml:space="preserve"> Toutefois, eu égard au fait que le requérant ne serait pas totalement démuni en cas de retour, que les autorités belges l</w:t>
      </w:r>
      <w:r w:rsidR="00A66252" w:rsidRPr="00A66252">
        <w:rPr>
          <w:szCs w:val="24"/>
          <w:lang w:val="fr-FR"/>
        </w:rPr>
        <w:t>’</w:t>
      </w:r>
      <w:r w:rsidRPr="00A66252">
        <w:rPr>
          <w:szCs w:val="24"/>
          <w:lang w:val="fr-FR"/>
        </w:rPr>
        <w:t>avaient déjà pris en charge médicalement alors que l</w:t>
      </w:r>
      <w:r w:rsidR="00A66252" w:rsidRPr="00A66252">
        <w:rPr>
          <w:szCs w:val="24"/>
          <w:lang w:val="fr-FR"/>
        </w:rPr>
        <w:t>’</w:t>
      </w:r>
      <w:r w:rsidRPr="00A66252">
        <w:rPr>
          <w:szCs w:val="24"/>
          <w:lang w:val="fr-FR"/>
        </w:rPr>
        <w:t>affaire était pendante devant la Cour et que la Géorgie était un État partie à la Convention, la Cour conclut qu</w:t>
      </w:r>
      <w:r w:rsidR="00A66252" w:rsidRPr="00A66252">
        <w:rPr>
          <w:szCs w:val="24"/>
          <w:lang w:val="fr-FR"/>
        </w:rPr>
        <w:t>’</w:t>
      </w:r>
      <w:r w:rsidRPr="00A66252">
        <w:rPr>
          <w:szCs w:val="24"/>
          <w:lang w:val="fr-FR"/>
        </w:rPr>
        <w:t>aucune circonstance exceptionnelle ne s</w:t>
      </w:r>
      <w:r w:rsidR="00A66252" w:rsidRPr="00A66252">
        <w:rPr>
          <w:szCs w:val="24"/>
          <w:lang w:val="fr-FR"/>
        </w:rPr>
        <w:t>’</w:t>
      </w:r>
      <w:r w:rsidRPr="00A66252">
        <w:rPr>
          <w:szCs w:val="24"/>
          <w:lang w:val="fr-FR"/>
        </w:rPr>
        <w:t>opposait, à ce stade, à l</w:t>
      </w:r>
      <w:r w:rsidR="00A66252" w:rsidRPr="00A66252">
        <w:rPr>
          <w:szCs w:val="24"/>
          <w:lang w:val="fr-FR"/>
        </w:rPr>
        <w:t>’</w:t>
      </w:r>
      <w:r w:rsidRPr="00A66252">
        <w:rPr>
          <w:szCs w:val="24"/>
          <w:lang w:val="fr-FR"/>
        </w:rPr>
        <w:t>éloignement du requérant.</w:t>
      </w:r>
    </w:p>
    <w:p w:rsidR="00ED7F4E" w:rsidRPr="00A66252" w:rsidRDefault="00A17D8F"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138</w:t>
      </w:r>
      <w:r w:rsidRPr="00A66252">
        <w:rPr>
          <w:szCs w:val="24"/>
          <w:lang w:val="fr-FR"/>
        </w:rPr>
        <w:fldChar w:fldCharType="end"/>
      </w:r>
      <w:r w:rsidRPr="00A66252">
        <w:rPr>
          <w:szCs w:val="24"/>
          <w:lang w:val="fr-FR"/>
        </w:rPr>
        <w:t>.  </w:t>
      </w:r>
      <w:r w:rsidR="00ED7F4E" w:rsidRPr="00A66252">
        <w:rPr>
          <w:szCs w:val="24"/>
          <w:lang w:val="fr-FR"/>
        </w:rPr>
        <w:t>La chambre estima que l</w:t>
      </w:r>
      <w:r w:rsidR="00A66252" w:rsidRPr="00A66252">
        <w:rPr>
          <w:szCs w:val="24"/>
          <w:lang w:val="fr-FR"/>
        </w:rPr>
        <w:t>’</w:t>
      </w:r>
      <w:r w:rsidR="00ED7F4E" w:rsidRPr="00A66252">
        <w:rPr>
          <w:szCs w:val="24"/>
          <w:lang w:val="fr-FR"/>
        </w:rPr>
        <w:t>examen des g</w:t>
      </w:r>
      <w:r w:rsidR="00B32D6C" w:rsidRPr="00A66252">
        <w:rPr>
          <w:szCs w:val="24"/>
          <w:lang w:val="fr-FR"/>
        </w:rPr>
        <w:t>riefs sous l</w:t>
      </w:r>
      <w:r w:rsidR="00A66252" w:rsidRPr="00A66252">
        <w:rPr>
          <w:szCs w:val="24"/>
          <w:lang w:val="fr-FR"/>
        </w:rPr>
        <w:t>’</w:t>
      </w:r>
      <w:r w:rsidR="00B32D6C" w:rsidRPr="00A66252">
        <w:rPr>
          <w:szCs w:val="24"/>
          <w:lang w:val="fr-FR"/>
        </w:rPr>
        <w:t>angle de l</w:t>
      </w:r>
      <w:r w:rsidR="00A66252" w:rsidRPr="00A66252">
        <w:rPr>
          <w:szCs w:val="24"/>
          <w:lang w:val="fr-FR"/>
        </w:rPr>
        <w:t>’</w:t>
      </w:r>
      <w:r w:rsidR="00B32D6C" w:rsidRPr="00A66252">
        <w:rPr>
          <w:szCs w:val="24"/>
          <w:lang w:val="fr-FR"/>
        </w:rPr>
        <w:t>article </w:t>
      </w:r>
      <w:r w:rsidR="00ED7F4E" w:rsidRPr="00A66252">
        <w:rPr>
          <w:szCs w:val="24"/>
          <w:lang w:val="fr-FR"/>
        </w:rPr>
        <w:t>2 ne conduisait pas à une conclusion différente</w:t>
      </w:r>
      <w:r w:rsidRPr="00A66252">
        <w:rPr>
          <w:szCs w:val="24"/>
          <w:lang w:val="fr-FR"/>
        </w:rPr>
        <w:t xml:space="preserve"> (§ 127)</w:t>
      </w:r>
      <w:r w:rsidR="00ED7F4E" w:rsidRPr="00A66252">
        <w:rPr>
          <w:szCs w:val="24"/>
          <w:lang w:val="fr-FR"/>
        </w:rPr>
        <w:t>.</w:t>
      </w:r>
    </w:p>
    <w:p w:rsidR="00200203" w:rsidRPr="00A66252" w:rsidRDefault="00C93FE5" w:rsidP="00A66252">
      <w:pPr>
        <w:pStyle w:val="ECHRHeading2"/>
        <w:rPr>
          <w:lang w:val="fr-FR"/>
        </w:rPr>
      </w:pPr>
      <w:r w:rsidRPr="00A66252">
        <w:rPr>
          <w:lang w:val="fr-FR"/>
        </w:rPr>
        <w:t>B.  </w:t>
      </w:r>
      <w:r w:rsidR="00ED7F4E" w:rsidRPr="00A66252">
        <w:rPr>
          <w:lang w:val="fr-FR"/>
        </w:rPr>
        <w:t>Les observations des parties devant la Grande Chambre</w:t>
      </w:r>
    </w:p>
    <w:p w:rsidR="00A17D8F" w:rsidRPr="00A66252" w:rsidRDefault="00A17D8F" w:rsidP="00A66252">
      <w:pPr>
        <w:pStyle w:val="ECHRHeading3"/>
        <w:rPr>
          <w:lang w:val="fr-FR" w:eastAsia="fr-FR"/>
        </w:rPr>
      </w:pPr>
      <w:r w:rsidRPr="00A66252">
        <w:rPr>
          <w:lang w:val="fr-FR" w:eastAsia="fr-FR"/>
        </w:rPr>
        <w:t>1.  </w:t>
      </w:r>
      <w:r w:rsidR="00E47236" w:rsidRPr="00A66252">
        <w:rPr>
          <w:lang w:val="fr-FR" w:eastAsia="fr-FR"/>
        </w:rPr>
        <w:t>Le requérant</w:t>
      </w:r>
    </w:p>
    <w:p w:rsidR="00A17D8F" w:rsidRPr="00A66252" w:rsidRDefault="005969DF" w:rsidP="00A66252">
      <w:pPr>
        <w:pStyle w:val="ECHRPara"/>
        <w:rPr>
          <w:i/>
          <w:lang w:val="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139</w:t>
      </w:r>
      <w:r w:rsidRPr="00A66252">
        <w:rPr>
          <w:szCs w:val="24"/>
          <w:lang w:val="fr-FR" w:eastAsia="fr-FR"/>
        </w:rPr>
        <w:fldChar w:fldCharType="end"/>
      </w:r>
      <w:r w:rsidRPr="00A66252">
        <w:rPr>
          <w:szCs w:val="24"/>
          <w:lang w:val="fr-FR" w:eastAsia="fr-FR"/>
        </w:rPr>
        <w:t>.  </w:t>
      </w:r>
      <w:r w:rsidR="008D46B4" w:rsidRPr="00A66252">
        <w:rPr>
          <w:szCs w:val="24"/>
          <w:lang w:val="fr-FR" w:eastAsia="fr-FR"/>
        </w:rPr>
        <w:t>Le requérant fai</w:t>
      </w:r>
      <w:r w:rsidR="00E226A1" w:rsidRPr="00A66252">
        <w:rPr>
          <w:szCs w:val="24"/>
          <w:lang w:val="fr-FR" w:eastAsia="fr-FR"/>
        </w:rPr>
        <w:t>sai</w:t>
      </w:r>
      <w:r w:rsidR="008D46B4" w:rsidRPr="00A66252">
        <w:rPr>
          <w:szCs w:val="24"/>
          <w:lang w:val="fr-FR" w:eastAsia="fr-FR"/>
        </w:rPr>
        <w:t>t valoir que, dans la droite ligne de la jurisprudence de la Cour</w:t>
      </w:r>
      <w:r w:rsidR="00A17D8F" w:rsidRPr="00A66252">
        <w:rPr>
          <w:szCs w:val="24"/>
          <w:lang w:val="fr-FR" w:eastAsia="fr-FR"/>
        </w:rPr>
        <w:t xml:space="preserve"> </w:t>
      </w:r>
      <w:r w:rsidR="008D46B4" w:rsidRPr="00A66252">
        <w:rPr>
          <w:szCs w:val="24"/>
          <w:lang w:val="fr-FR" w:eastAsia="fr-FR"/>
        </w:rPr>
        <w:t>telle qu</w:t>
      </w:r>
      <w:r w:rsidR="00A66252" w:rsidRPr="00A66252">
        <w:rPr>
          <w:szCs w:val="24"/>
          <w:lang w:val="fr-FR" w:eastAsia="fr-FR"/>
        </w:rPr>
        <w:t>’</w:t>
      </w:r>
      <w:r w:rsidR="008D46B4" w:rsidRPr="00A66252">
        <w:rPr>
          <w:szCs w:val="24"/>
          <w:lang w:val="fr-FR" w:eastAsia="fr-FR"/>
        </w:rPr>
        <w:t xml:space="preserve">énoncée dans les arrêts </w:t>
      </w:r>
      <w:r w:rsidR="008D46B4" w:rsidRPr="00A66252">
        <w:rPr>
          <w:i/>
          <w:szCs w:val="24"/>
          <w:lang w:val="fr-FR" w:eastAsia="fr-FR"/>
        </w:rPr>
        <w:t>M.S.S.</w:t>
      </w:r>
      <w:r w:rsidR="00E83F28" w:rsidRPr="00A66252">
        <w:rPr>
          <w:i/>
          <w:szCs w:val="24"/>
          <w:lang w:val="fr-FR" w:eastAsia="fr-FR"/>
        </w:rPr>
        <w:t xml:space="preserve"> </w:t>
      </w:r>
      <w:r w:rsidR="001A3877" w:rsidRPr="00A66252">
        <w:rPr>
          <w:i/>
          <w:szCs w:val="24"/>
          <w:lang w:val="fr-FR" w:eastAsia="fr-FR"/>
        </w:rPr>
        <w:t>c. Belgique et Gr</w:t>
      </w:r>
      <w:r w:rsidR="001A3877" w:rsidRPr="00A66252">
        <w:rPr>
          <w:rFonts w:cstheme="minorHAnsi"/>
          <w:i/>
          <w:szCs w:val="24"/>
          <w:lang w:val="fr-FR" w:eastAsia="fr-FR"/>
        </w:rPr>
        <w:t>è</w:t>
      </w:r>
      <w:r w:rsidR="001A3877" w:rsidRPr="00A66252">
        <w:rPr>
          <w:i/>
          <w:szCs w:val="24"/>
          <w:lang w:val="fr-FR" w:eastAsia="fr-FR"/>
        </w:rPr>
        <w:t>ce</w:t>
      </w:r>
      <w:r w:rsidR="003E120F" w:rsidRPr="00A66252">
        <w:rPr>
          <w:szCs w:val="24"/>
          <w:lang w:val="fr-FR" w:eastAsia="fr-FR"/>
        </w:rPr>
        <w:t xml:space="preserve"> </w:t>
      </w:r>
      <w:r w:rsidR="00493B3A" w:rsidRPr="00A66252">
        <w:rPr>
          <w:lang w:val="fr-FR"/>
        </w:rPr>
        <w:t>[GC] (n</w:t>
      </w:r>
      <w:r w:rsidR="00493B3A" w:rsidRPr="00A66252">
        <w:rPr>
          <w:vertAlign w:val="superscript"/>
          <w:lang w:val="fr-FR"/>
        </w:rPr>
        <w:t>o</w:t>
      </w:r>
      <w:r w:rsidR="00493B3A" w:rsidRPr="00A66252">
        <w:rPr>
          <w:lang w:val="fr-FR"/>
        </w:rPr>
        <w:t xml:space="preserve"> 30696/09, CEDH 2011)</w:t>
      </w:r>
      <w:r w:rsidR="008D46B4" w:rsidRPr="00A66252">
        <w:rPr>
          <w:szCs w:val="24"/>
          <w:lang w:val="fr-FR" w:eastAsia="fr-FR"/>
        </w:rPr>
        <w:t xml:space="preserve">, </w:t>
      </w:r>
      <w:r w:rsidR="005F2811" w:rsidRPr="00A66252">
        <w:rPr>
          <w:szCs w:val="24"/>
          <w:lang w:val="fr-FR" w:eastAsia="fr-FR"/>
        </w:rPr>
        <w:t xml:space="preserve">et </w:t>
      </w:r>
      <w:proofErr w:type="spellStart"/>
      <w:r w:rsidR="008D46B4" w:rsidRPr="00A66252">
        <w:rPr>
          <w:i/>
          <w:lang w:val="fr-FR"/>
        </w:rPr>
        <w:t>Tarakhel</w:t>
      </w:r>
      <w:proofErr w:type="spellEnd"/>
      <w:r w:rsidR="008D46B4" w:rsidRPr="00A66252">
        <w:rPr>
          <w:i/>
          <w:lang w:val="fr-FR"/>
        </w:rPr>
        <w:t xml:space="preserve"> c. Suisse </w:t>
      </w:r>
      <w:r w:rsidR="008D46B4" w:rsidRPr="00A66252">
        <w:rPr>
          <w:lang w:val="fr-FR"/>
        </w:rPr>
        <w:t>[GC] (n</w:t>
      </w:r>
      <w:r w:rsidR="008D46B4" w:rsidRPr="00A66252">
        <w:rPr>
          <w:vertAlign w:val="superscript"/>
          <w:lang w:val="fr-FR"/>
        </w:rPr>
        <w:t>o</w:t>
      </w:r>
      <w:r w:rsidR="003E120F" w:rsidRPr="00A66252">
        <w:rPr>
          <w:lang w:val="fr-FR"/>
        </w:rPr>
        <w:t> </w:t>
      </w:r>
      <w:r w:rsidR="008D46B4" w:rsidRPr="00A66252">
        <w:rPr>
          <w:lang w:val="fr-FR"/>
        </w:rPr>
        <w:t>29217/12, CEDH 2014 (extraits))</w:t>
      </w:r>
      <w:r w:rsidR="008D46B4" w:rsidRPr="00A66252">
        <w:rPr>
          <w:snapToGrid w:val="0"/>
          <w:lang w:val="fr-FR"/>
        </w:rPr>
        <w:t xml:space="preserve">, </w:t>
      </w:r>
      <w:r w:rsidR="00A17D8F" w:rsidRPr="00A66252">
        <w:rPr>
          <w:szCs w:val="24"/>
          <w:lang w:val="fr-FR" w:eastAsia="fr-FR"/>
        </w:rPr>
        <w:t>l</w:t>
      </w:r>
      <w:r w:rsidR="00A66252" w:rsidRPr="00A66252">
        <w:rPr>
          <w:szCs w:val="24"/>
          <w:lang w:val="fr-FR" w:eastAsia="fr-FR"/>
        </w:rPr>
        <w:t>’</w:t>
      </w:r>
      <w:r w:rsidR="00A17D8F" w:rsidRPr="00A66252">
        <w:rPr>
          <w:szCs w:val="24"/>
          <w:lang w:val="fr-FR" w:eastAsia="fr-FR"/>
        </w:rPr>
        <w:t>examen de la violation de l</w:t>
      </w:r>
      <w:r w:rsidR="00A66252" w:rsidRPr="00A66252">
        <w:rPr>
          <w:szCs w:val="24"/>
          <w:lang w:val="fr-FR" w:eastAsia="fr-FR"/>
        </w:rPr>
        <w:t>’</w:t>
      </w:r>
      <w:r w:rsidR="00A17D8F" w:rsidRPr="00A66252">
        <w:rPr>
          <w:szCs w:val="24"/>
          <w:lang w:val="fr-FR" w:eastAsia="fr-FR"/>
        </w:rPr>
        <w:t xml:space="preserve">article 3 de la Convention </w:t>
      </w:r>
      <w:r w:rsidR="00E226A1" w:rsidRPr="00A66252">
        <w:rPr>
          <w:szCs w:val="24"/>
          <w:lang w:val="fr-FR" w:eastAsia="fr-FR"/>
        </w:rPr>
        <w:t xml:space="preserve">devait </w:t>
      </w:r>
      <w:r w:rsidR="00A17D8F" w:rsidRPr="00A66252">
        <w:rPr>
          <w:szCs w:val="24"/>
          <w:lang w:val="fr-FR" w:eastAsia="fr-FR"/>
        </w:rPr>
        <w:t>se faire de manière concrète et au regard de l</w:t>
      </w:r>
      <w:r w:rsidR="00A66252" w:rsidRPr="00A66252">
        <w:rPr>
          <w:szCs w:val="24"/>
          <w:lang w:val="fr-FR" w:eastAsia="fr-FR"/>
        </w:rPr>
        <w:t>’</w:t>
      </w:r>
      <w:r w:rsidR="00A17D8F" w:rsidRPr="00A66252">
        <w:rPr>
          <w:szCs w:val="24"/>
          <w:lang w:val="fr-FR" w:eastAsia="fr-FR"/>
        </w:rPr>
        <w:t>ensemble des données de la cause, en tenant compte de l</w:t>
      </w:r>
      <w:r w:rsidR="00A66252" w:rsidRPr="00A66252">
        <w:rPr>
          <w:szCs w:val="24"/>
          <w:lang w:val="fr-FR" w:eastAsia="fr-FR"/>
        </w:rPr>
        <w:t>’</w:t>
      </w:r>
      <w:r w:rsidR="00A17D8F" w:rsidRPr="00A66252">
        <w:rPr>
          <w:szCs w:val="24"/>
          <w:lang w:val="fr-FR" w:eastAsia="fr-FR"/>
        </w:rPr>
        <w:t>accessibilité aux soins dans le pays de destination et de la particulière vulnérabilité de l</w:t>
      </w:r>
      <w:r w:rsidR="00A66252" w:rsidRPr="00A66252">
        <w:rPr>
          <w:szCs w:val="24"/>
          <w:lang w:val="fr-FR" w:eastAsia="fr-FR"/>
        </w:rPr>
        <w:t>’</w:t>
      </w:r>
      <w:r w:rsidR="006600EE" w:rsidRPr="00A66252">
        <w:rPr>
          <w:szCs w:val="24"/>
          <w:lang w:val="fr-FR" w:eastAsia="fr-FR"/>
        </w:rPr>
        <w:t>intéressé.</w:t>
      </w:r>
    </w:p>
    <w:p w:rsidR="00B247EA" w:rsidRPr="00A66252" w:rsidRDefault="00B247EA" w:rsidP="00A66252">
      <w:pPr>
        <w:pStyle w:val="ECHRPara"/>
        <w:ind w:firstLine="142"/>
        <w:rPr>
          <w:i/>
          <w:lang w:val="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140</w:t>
      </w:r>
      <w:r w:rsidRPr="00A66252">
        <w:rPr>
          <w:szCs w:val="24"/>
          <w:lang w:val="fr-FR" w:eastAsia="fr-FR"/>
        </w:rPr>
        <w:fldChar w:fldCharType="end"/>
      </w:r>
      <w:r w:rsidRPr="00A66252">
        <w:rPr>
          <w:szCs w:val="24"/>
          <w:lang w:val="fr-FR" w:eastAsia="fr-FR"/>
        </w:rPr>
        <w:t xml:space="preserve">.  La </w:t>
      </w:r>
      <w:r w:rsidR="001E6B5E" w:rsidRPr="00A66252">
        <w:rPr>
          <w:szCs w:val="24"/>
          <w:lang w:val="fr-FR" w:eastAsia="fr-FR"/>
        </w:rPr>
        <w:t>vulnérabilité particulière du requérant résult</w:t>
      </w:r>
      <w:r w:rsidR="00E226A1" w:rsidRPr="00A66252">
        <w:rPr>
          <w:szCs w:val="24"/>
          <w:lang w:val="fr-FR" w:eastAsia="fr-FR"/>
        </w:rPr>
        <w:t>ait</w:t>
      </w:r>
      <w:r w:rsidR="001E6B5E" w:rsidRPr="00A66252">
        <w:rPr>
          <w:szCs w:val="24"/>
          <w:lang w:val="fr-FR" w:eastAsia="fr-FR"/>
        </w:rPr>
        <w:t xml:space="preserve"> </w:t>
      </w:r>
      <w:r w:rsidR="00710018" w:rsidRPr="00A66252">
        <w:rPr>
          <w:szCs w:val="24"/>
          <w:lang w:val="fr-FR" w:eastAsia="fr-FR"/>
        </w:rPr>
        <w:t xml:space="preserve">principalement </w:t>
      </w:r>
      <w:r w:rsidR="001E6B5E" w:rsidRPr="00A66252">
        <w:rPr>
          <w:szCs w:val="24"/>
          <w:lang w:val="fr-FR" w:eastAsia="fr-FR"/>
        </w:rPr>
        <w:t xml:space="preserve">de son état de santé. La </w:t>
      </w:r>
      <w:r w:rsidRPr="00A66252">
        <w:rPr>
          <w:szCs w:val="24"/>
          <w:lang w:val="fr-FR" w:eastAsia="fr-FR"/>
        </w:rPr>
        <w:t xml:space="preserve">leucémie dont </w:t>
      </w:r>
      <w:r w:rsidR="001E6B5E" w:rsidRPr="00A66252">
        <w:rPr>
          <w:szCs w:val="24"/>
          <w:lang w:val="fr-FR" w:eastAsia="fr-FR"/>
        </w:rPr>
        <w:t xml:space="preserve">il </w:t>
      </w:r>
      <w:r w:rsidRPr="00A66252">
        <w:rPr>
          <w:szCs w:val="24"/>
          <w:lang w:val="fr-FR" w:eastAsia="fr-FR"/>
        </w:rPr>
        <w:t>souffr</w:t>
      </w:r>
      <w:r w:rsidR="00E226A1" w:rsidRPr="00A66252">
        <w:rPr>
          <w:szCs w:val="24"/>
          <w:lang w:val="fr-FR" w:eastAsia="fr-FR"/>
        </w:rPr>
        <w:t>ait</w:t>
      </w:r>
      <w:r w:rsidRPr="00A66252">
        <w:rPr>
          <w:szCs w:val="24"/>
          <w:lang w:val="fr-FR" w:eastAsia="fr-FR"/>
        </w:rPr>
        <w:t xml:space="preserve"> a</w:t>
      </w:r>
      <w:r w:rsidR="00E226A1" w:rsidRPr="00A66252">
        <w:rPr>
          <w:szCs w:val="24"/>
          <w:lang w:val="fr-FR" w:eastAsia="fr-FR"/>
        </w:rPr>
        <w:t>vait</w:t>
      </w:r>
      <w:r w:rsidR="00020705" w:rsidRPr="00A66252">
        <w:rPr>
          <w:szCs w:val="24"/>
          <w:lang w:val="fr-FR" w:eastAsia="fr-FR"/>
        </w:rPr>
        <w:t xml:space="preserve"> </w:t>
      </w:r>
      <w:r w:rsidRPr="00A66252">
        <w:rPr>
          <w:szCs w:val="24"/>
          <w:lang w:val="fr-FR" w:eastAsia="fr-FR"/>
        </w:rPr>
        <w:t>atteint le seuil le plus grave, le stade Binet C</w:t>
      </w:r>
      <w:r w:rsidR="001E6B5E" w:rsidRPr="00A66252">
        <w:rPr>
          <w:szCs w:val="24"/>
          <w:lang w:val="fr-FR" w:eastAsia="fr-FR"/>
        </w:rPr>
        <w:t>.</w:t>
      </w:r>
      <w:r w:rsidRPr="00A66252">
        <w:rPr>
          <w:szCs w:val="24"/>
          <w:lang w:val="fr-FR" w:eastAsia="fr-FR"/>
        </w:rPr>
        <w:t xml:space="preserve"> </w:t>
      </w:r>
      <w:r w:rsidR="00224943" w:rsidRPr="00A66252">
        <w:rPr>
          <w:szCs w:val="24"/>
          <w:lang w:val="fr-FR" w:eastAsia="fr-FR"/>
        </w:rPr>
        <w:t>Il a</w:t>
      </w:r>
      <w:r w:rsidR="00E226A1" w:rsidRPr="00A66252">
        <w:rPr>
          <w:szCs w:val="24"/>
          <w:lang w:val="fr-FR" w:eastAsia="fr-FR"/>
        </w:rPr>
        <w:t>vait</w:t>
      </w:r>
      <w:r w:rsidR="00224943" w:rsidRPr="00A66252">
        <w:rPr>
          <w:szCs w:val="24"/>
          <w:lang w:val="fr-FR" w:eastAsia="fr-FR"/>
        </w:rPr>
        <w:t xml:space="preserve"> déjà subi de nombreuses chimiothérapies et cette pathologie l</w:t>
      </w:r>
      <w:r w:rsidR="00A66252" w:rsidRPr="00A66252">
        <w:rPr>
          <w:szCs w:val="24"/>
          <w:lang w:val="fr-FR" w:eastAsia="fr-FR"/>
        </w:rPr>
        <w:t>’</w:t>
      </w:r>
      <w:r w:rsidR="00224943" w:rsidRPr="00A66252">
        <w:rPr>
          <w:szCs w:val="24"/>
          <w:lang w:val="fr-FR" w:eastAsia="fr-FR"/>
        </w:rPr>
        <w:t>expos</w:t>
      </w:r>
      <w:r w:rsidR="00E226A1" w:rsidRPr="00A66252">
        <w:rPr>
          <w:szCs w:val="24"/>
          <w:lang w:val="fr-FR" w:eastAsia="fr-FR"/>
        </w:rPr>
        <w:t>ait</w:t>
      </w:r>
      <w:r w:rsidR="00224943" w:rsidRPr="00A66252">
        <w:rPr>
          <w:szCs w:val="24"/>
          <w:lang w:val="fr-FR" w:eastAsia="fr-FR"/>
        </w:rPr>
        <w:t xml:space="preserve"> à des complications sévères qui justifi</w:t>
      </w:r>
      <w:r w:rsidR="00E226A1" w:rsidRPr="00A66252">
        <w:rPr>
          <w:szCs w:val="24"/>
          <w:lang w:val="fr-FR" w:eastAsia="fr-FR"/>
        </w:rPr>
        <w:t>ai</w:t>
      </w:r>
      <w:r w:rsidR="00224943" w:rsidRPr="00A66252">
        <w:rPr>
          <w:szCs w:val="24"/>
          <w:lang w:val="fr-FR" w:eastAsia="fr-FR"/>
        </w:rPr>
        <w:t>ent un suivi régulier en milieu spécialisé.</w:t>
      </w:r>
      <w:r w:rsidR="00224943" w:rsidRPr="00A66252">
        <w:rPr>
          <w:color w:val="FF0000"/>
          <w:szCs w:val="24"/>
          <w:lang w:val="fr-FR" w:eastAsia="fr-FR"/>
        </w:rPr>
        <w:t xml:space="preserve"> </w:t>
      </w:r>
      <w:r w:rsidR="001E6B5E" w:rsidRPr="00A66252">
        <w:rPr>
          <w:szCs w:val="24"/>
          <w:lang w:val="fr-FR" w:eastAsia="fr-FR"/>
        </w:rPr>
        <w:t xml:space="preserve">Il </w:t>
      </w:r>
      <w:r w:rsidR="00E226A1" w:rsidRPr="00A66252">
        <w:rPr>
          <w:szCs w:val="24"/>
          <w:lang w:val="fr-FR" w:eastAsia="fr-FR"/>
        </w:rPr>
        <w:t xml:space="preserve">était </w:t>
      </w:r>
      <w:r w:rsidR="001E6B5E" w:rsidRPr="00A66252">
        <w:rPr>
          <w:szCs w:val="24"/>
          <w:lang w:val="fr-FR" w:eastAsia="fr-FR"/>
        </w:rPr>
        <w:t xml:space="preserve">traité avec un </w:t>
      </w:r>
      <w:r w:rsidR="006600EE" w:rsidRPr="00A66252">
        <w:rPr>
          <w:szCs w:val="24"/>
          <w:lang w:val="fr-FR" w:eastAsia="fr-FR"/>
        </w:rPr>
        <w:br w:type="textWrapping" w:clear="all"/>
      </w:r>
      <w:r w:rsidR="001E6B5E" w:rsidRPr="00A66252">
        <w:rPr>
          <w:szCs w:val="24"/>
          <w:lang w:val="fr-FR" w:eastAsia="fr-FR"/>
        </w:rPr>
        <w:t>médicament</w:t>
      </w:r>
      <w:r w:rsidR="006600EE" w:rsidRPr="00A66252">
        <w:rPr>
          <w:szCs w:val="24"/>
          <w:lang w:val="fr-FR" w:eastAsia="fr-FR"/>
        </w:rPr>
        <w:t> </w:t>
      </w:r>
      <w:r w:rsidR="001E6B5E" w:rsidRPr="00A66252">
        <w:rPr>
          <w:szCs w:val="24"/>
          <w:lang w:val="fr-FR" w:eastAsia="fr-FR"/>
        </w:rPr>
        <w:t>–</w:t>
      </w:r>
      <w:r w:rsidR="006600EE" w:rsidRPr="00A66252">
        <w:rPr>
          <w:szCs w:val="24"/>
          <w:lang w:val="fr-FR" w:eastAsia="fr-FR"/>
        </w:rPr>
        <w:t> </w:t>
      </w:r>
      <w:r w:rsidR="001E6B5E" w:rsidRPr="00A66252">
        <w:rPr>
          <w:szCs w:val="24"/>
          <w:lang w:val="fr-FR" w:eastAsia="fr-FR"/>
        </w:rPr>
        <w:t>l</w:t>
      </w:r>
      <w:r w:rsidR="00A66252" w:rsidRPr="00A66252">
        <w:rPr>
          <w:szCs w:val="24"/>
          <w:lang w:val="fr-FR" w:eastAsia="fr-FR"/>
        </w:rPr>
        <w:t>’</w:t>
      </w:r>
      <w:proofErr w:type="spellStart"/>
      <w:r w:rsidR="001E6B5E" w:rsidRPr="00A66252">
        <w:rPr>
          <w:szCs w:val="24"/>
          <w:lang w:val="fr-FR" w:eastAsia="fr-FR"/>
        </w:rPr>
        <w:t>Ibruti</w:t>
      </w:r>
      <w:r w:rsidR="00932DA2" w:rsidRPr="00A66252">
        <w:rPr>
          <w:szCs w:val="24"/>
          <w:lang w:val="fr-FR" w:eastAsia="fr-FR"/>
        </w:rPr>
        <w:t>ni</w:t>
      </w:r>
      <w:r w:rsidR="001E6B5E" w:rsidRPr="00A66252">
        <w:rPr>
          <w:szCs w:val="24"/>
          <w:lang w:val="fr-FR" w:eastAsia="fr-FR"/>
        </w:rPr>
        <w:t>b</w:t>
      </w:r>
      <w:proofErr w:type="spellEnd"/>
      <w:r w:rsidR="001E6B5E" w:rsidRPr="00A66252">
        <w:rPr>
          <w:szCs w:val="24"/>
          <w:lang w:val="fr-FR" w:eastAsia="fr-FR"/>
        </w:rPr>
        <w:t xml:space="preserve"> – qui </w:t>
      </w:r>
      <w:r w:rsidR="00E226A1" w:rsidRPr="00A66252">
        <w:rPr>
          <w:szCs w:val="24"/>
          <w:lang w:val="fr-FR" w:eastAsia="fr-FR"/>
        </w:rPr>
        <w:t xml:space="preserve">était </w:t>
      </w:r>
      <w:r w:rsidR="001E6B5E" w:rsidRPr="00A66252">
        <w:rPr>
          <w:szCs w:val="24"/>
          <w:lang w:val="fr-FR" w:eastAsia="fr-FR"/>
        </w:rPr>
        <w:t>très coûteux, de l</w:t>
      </w:r>
      <w:r w:rsidR="00A66252" w:rsidRPr="00A66252">
        <w:rPr>
          <w:szCs w:val="24"/>
          <w:lang w:val="fr-FR" w:eastAsia="fr-FR"/>
        </w:rPr>
        <w:t>’</w:t>
      </w:r>
      <w:r w:rsidR="001E6B5E" w:rsidRPr="00A66252">
        <w:rPr>
          <w:szCs w:val="24"/>
          <w:lang w:val="fr-FR" w:eastAsia="fr-FR"/>
        </w:rPr>
        <w:t xml:space="preserve">ordre de 6 000 </w:t>
      </w:r>
      <w:r w:rsidR="00224943" w:rsidRPr="00A66252">
        <w:rPr>
          <w:szCs w:val="24"/>
          <w:lang w:val="fr-FR" w:eastAsia="fr-FR"/>
        </w:rPr>
        <w:t>EUR</w:t>
      </w:r>
      <w:r w:rsidR="001E6B5E" w:rsidRPr="00A66252">
        <w:rPr>
          <w:szCs w:val="24"/>
          <w:lang w:val="fr-FR" w:eastAsia="fr-FR"/>
        </w:rPr>
        <w:t xml:space="preserve"> par mois, et dont les doses </w:t>
      </w:r>
      <w:r w:rsidR="00E226A1" w:rsidRPr="00A66252">
        <w:rPr>
          <w:szCs w:val="24"/>
          <w:lang w:val="fr-FR" w:eastAsia="fr-FR"/>
        </w:rPr>
        <w:t xml:space="preserve">devaient </w:t>
      </w:r>
      <w:r w:rsidR="001E6B5E" w:rsidRPr="00A66252">
        <w:rPr>
          <w:szCs w:val="24"/>
          <w:lang w:val="fr-FR" w:eastAsia="fr-FR"/>
        </w:rPr>
        <w:t>être continuellement adaptées au traitement contre l</w:t>
      </w:r>
      <w:r w:rsidR="00A66252" w:rsidRPr="00A66252">
        <w:rPr>
          <w:szCs w:val="24"/>
          <w:lang w:val="fr-FR" w:eastAsia="fr-FR"/>
        </w:rPr>
        <w:t>’</w:t>
      </w:r>
      <w:r w:rsidR="001E6B5E" w:rsidRPr="00A66252">
        <w:rPr>
          <w:szCs w:val="24"/>
          <w:lang w:val="fr-FR" w:eastAsia="fr-FR"/>
        </w:rPr>
        <w:t>hépatite C</w:t>
      </w:r>
      <w:r w:rsidR="00224943" w:rsidRPr="00A66252">
        <w:rPr>
          <w:szCs w:val="24"/>
          <w:lang w:val="fr-FR" w:eastAsia="fr-FR"/>
        </w:rPr>
        <w:t>. Celle-ci a</w:t>
      </w:r>
      <w:r w:rsidR="00E226A1" w:rsidRPr="00A66252">
        <w:rPr>
          <w:szCs w:val="24"/>
          <w:lang w:val="fr-FR" w:eastAsia="fr-FR"/>
        </w:rPr>
        <w:t>vait</w:t>
      </w:r>
      <w:r w:rsidR="00224943" w:rsidRPr="00A66252">
        <w:rPr>
          <w:szCs w:val="24"/>
          <w:lang w:val="fr-FR" w:eastAsia="fr-FR"/>
        </w:rPr>
        <w:t xml:space="preserve"> récemment été réactivée après une rechute en 2012 et 2013 et nécessit</w:t>
      </w:r>
      <w:r w:rsidR="002A23A4" w:rsidRPr="00A66252">
        <w:rPr>
          <w:szCs w:val="24"/>
          <w:lang w:val="fr-FR" w:eastAsia="fr-FR"/>
        </w:rPr>
        <w:t>ait</w:t>
      </w:r>
      <w:r w:rsidR="00224943" w:rsidRPr="00A66252">
        <w:rPr>
          <w:szCs w:val="24"/>
          <w:lang w:val="fr-FR" w:eastAsia="fr-FR"/>
        </w:rPr>
        <w:t xml:space="preserve"> un traitement également très coûteux s</w:t>
      </w:r>
      <w:r w:rsidR="00A66252" w:rsidRPr="00A66252">
        <w:rPr>
          <w:szCs w:val="24"/>
          <w:lang w:val="fr-FR" w:eastAsia="fr-FR"/>
        </w:rPr>
        <w:t>’</w:t>
      </w:r>
      <w:r w:rsidR="00224943" w:rsidRPr="00A66252">
        <w:rPr>
          <w:szCs w:val="24"/>
          <w:lang w:val="fr-FR" w:eastAsia="fr-FR"/>
        </w:rPr>
        <w:t>élevant à 700 EUR par jour</w:t>
      </w:r>
      <w:r w:rsidR="001E6B5E" w:rsidRPr="00A66252">
        <w:rPr>
          <w:szCs w:val="24"/>
          <w:lang w:val="fr-FR" w:eastAsia="fr-FR"/>
        </w:rPr>
        <w:t>. Dès que l</w:t>
      </w:r>
      <w:r w:rsidR="00A66252" w:rsidRPr="00A66252">
        <w:rPr>
          <w:szCs w:val="24"/>
          <w:lang w:val="fr-FR" w:eastAsia="fr-FR"/>
        </w:rPr>
        <w:t>’</w:t>
      </w:r>
      <w:r w:rsidR="001E6B5E" w:rsidRPr="00A66252">
        <w:rPr>
          <w:szCs w:val="24"/>
          <w:lang w:val="fr-FR" w:eastAsia="fr-FR"/>
        </w:rPr>
        <w:t xml:space="preserve">état général du requérant </w:t>
      </w:r>
      <w:r w:rsidR="002A23A4" w:rsidRPr="00A66252">
        <w:rPr>
          <w:szCs w:val="24"/>
          <w:lang w:val="fr-FR" w:eastAsia="fr-FR"/>
        </w:rPr>
        <w:t>l</w:t>
      </w:r>
      <w:r w:rsidR="00A66252" w:rsidRPr="00A66252">
        <w:rPr>
          <w:szCs w:val="24"/>
          <w:lang w:val="fr-FR" w:eastAsia="fr-FR"/>
        </w:rPr>
        <w:t>’</w:t>
      </w:r>
      <w:r w:rsidR="002A23A4" w:rsidRPr="00A66252">
        <w:rPr>
          <w:szCs w:val="24"/>
          <w:lang w:val="fr-FR" w:eastAsia="fr-FR"/>
        </w:rPr>
        <w:t>aurait permis</w:t>
      </w:r>
      <w:r w:rsidR="00C95847" w:rsidRPr="00A66252">
        <w:rPr>
          <w:szCs w:val="24"/>
          <w:lang w:val="fr-FR" w:eastAsia="fr-FR"/>
        </w:rPr>
        <w:t>, le</w:t>
      </w:r>
      <w:r w:rsidR="00E10C63" w:rsidRPr="00A66252">
        <w:rPr>
          <w:szCs w:val="24"/>
          <w:lang w:val="fr-FR" w:eastAsia="fr-FR"/>
        </w:rPr>
        <w:t xml:space="preserve"> traitement prévo</w:t>
      </w:r>
      <w:r w:rsidR="002A23A4" w:rsidRPr="00A66252">
        <w:rPr>
          <w:szCs w:val="24"/>
          <w:lang w:val="fr-FR" w:eastAsia="fr-FR"/>
        </w:rPr>
        <w:t xml:space="preserve">yait </w:t>
      </w:r>
      <w:r w:rsidR="001E6B5E" w:rsidRPr="00A66252">
        <w:rPr>
          <w:szCs w:val="24"/>
          <w:lang w:val="fr-FR" w:eastAsia="fr-FR"/>
        </w:rPr>
        <w:t xml:space="preserve">une allogreffe dont le coût </w:t>
      </w:r>
      <w:r w:rsidR="002A23A4" w:rsidRPr="00A66252">
        <w:rPr>
          <w:szCs w:val="24"/>
          <w:lang w:val="fr-FR" w:eastAsia="fr-FR"/>
        </w:rPr>
        <w:t xml:space="preserve">était </w:t>
      </w:r>
      <w:r w:rsidR="001E6B5E" w:rsidRPr="00A66252">
        <w:rPr>
          <w:szCs w:val="24"/>
          <w:lang w:val="fr-FR" w:eastAsia="fr-FR"/>
        </w:rPr>
        <w:t xml:space="preserve">évalué à 150 000 </w:t>
      </w:r>
      <w:r w:rsidR="00224943" w:rsidRPr="00A66252">
        <w:rPr>
          <w:szCs w:val="24"/>
          <w:lang w:val="fr-FR" w:eastAsia="fr-FR"/>
        </w:rPr>
        <w:t>EUR</w:t>
      </w:r>
      <w:r w:rsidR="001E6B5E" w:rsidRPr="00A66252">
        <w:rPr>
          <w:szCs w:val="24"/>
          <w:lang w:val="fr-FR" w:eastAsia="fr-FR"/>
        </w:rPr>
        <w:t>. Il s</w:t>
      </w:r>
      <w:r w:rsidR="00A66252" w:rsidRPr="00A66252">
        <w:rPr>
          <w:szCs w:val="24"/>
          <w:lang w:val="fr-FR" w:eastAsia="fr-FR"/>
        </w:rPr>
        <w:t>’</w:t>
      </w:r>
      <w:r w:rsidR="001E6B5E" w:rsidRPr="00A66252">
        <w:rPr>
          <w:szCs w:val="24"/>
          <w:lang w:val="fr-FR" w:eastAsia="fr-FR"/>
        </w:rPr>
        <w:t>agi</w:t>
      </w:r>
      <w:r w:rsidR="002A23A4" w:rsidRPr="00A66252">
        <w:rPr>
          <w:szCs w:val="24"/>
          <w:lang w:val="fr-FR" w:eastAsia="fr-FR"/>
        </w:rPr>
        <w:t>ssai</w:t>
      </w:r>
      <w:r w:rsidR="001E6B5E" w:rsidRPr="00A66252">
        <w:rPr>
          <w:szCs w:val="24"/>
          <w:lang w:val="fr-FR" w:eastAsia="fr-FR"/>
        </w:rPr>
        <w:t xml:space="preserve">t du seul espoir de guérison pour lequel un donneur compatible, extérieur à la famille, </w:t>
      </w:r>
      <w:r w:rsidR="002A23A4" w:rsidRPr="00A66252">
        <w:rPr>
          <w:szCs w:val="24"/>
          <w:lang w:val="fr-FR" w:eastAsia="fr-FR"/>
        </w:rPr>
        <w:t xml:space="preserve">était </w:t>
      </w:r>
      <w:r w:rsidR="001E6B5E" w:rsidRPr="00A66252">
        <w:rPr>
          <w:szCs w:val="24"/>
          <w:lang w:val="fr-FR" w:eastAsia="fr-FR"/>
        </w:rPr>
        <w:t>en cours de recherche.</w:t>
      </w:r>
      <w:r w:rsidR="00C75EF4" w:rsidRPr="00A66252">
        <w:rPr>
          <w:szCs w:val="24"/>
          <w:lang w:val="fr-FR" w:eastAsia="fr-FR"/>
        </w:rPr>
        <w:t xml:space="preserve"> </w:t>
      </w:r>
      <w:r w:rsidR="00370A72" w:rsidRPr="00A66252">
        <w:rPr>
          <w:szCs w:val="24"/>
          <w:lang w:val="fr-FR" w:eastAsia="fr-FR"/>
        </w:rPr>
        <w:t>L</w:t>
      </w:r>
      <w:r w:rsidR="00A66252" w:rsidRPr="00A66252">
        <w:rPr>
          <w:szCs w:val="24"/>
          <w:lang w:val="fr-FR" w:eastAsia="fr-FR"/>
        </w:rPr>
        <w:t>’</w:t>
      </w:r>
      <w:r w:rsidR="00370A72" w:rsidRPr="00A66252">
        <w:rPr>
          <w:szCs w:val="24"/>
          <w:lang w:val="fr-FR" w:eastAsia="fr-FR"/>
        </w:rPr>
        <w:t xml:space="preserve">état du requérant </w:t>
      </w:r>
      <w:r w:rsidR="002A23A4" w:rsidRPr="00A66252">
        <w:rPr>
          <w:szCs w:val="24"/>
          <w:lang w:val="fr-FR" w:eastAsia="fr-FR"/>
        </w:rPr>
        <w:t xml:space="preserve">était </w:t>
      </w:r>
      <w:r w:rsidR="00370A72" w:rsidRPr="00A66252">
        <w:rPr>
          <w:szCs w:val="24"/>
          <w:lang w:val="fr-FR" w:eastAsia="fr-FR"/>
        </w:rPr>
        <w:t>également fragilisé du fait des</w:t>
      </w:r>
      <w:r w:rsidR="00C75EF4" w:rsidRPr="00A66252">
        <w:rPr>
          <w:szCs w:val="24"/>
          <w:lang w:val="fr-FR" w:eastAsia="fr-FR"/>
        </w:rPr>
        <w:t xml:space="preserve"> surinfections </w:t>
      </w:r>
      <w:r w:rsidR="00370A72" w:rsidRPr="00A66252">
        <w:rPr>
          <w:szCs w:val="24"/>
          <w:lang w:val="fr-FR" w:eastAsia="fr-FR"/>
        </w:rPr>
        <w:t xml:space="preserve">respiratoires </w:t>
      </w:r>
      <w:r w:rsidR="00C75EF4" w:rsidRPr="00A66252">
        <w:rPr>
          <w:szCs w:val="24"/>
          <w:lang w:val="fr-FR" w:eastAsia="fr-FR"/>
        </w:rPr>
        <w:t>régulières dues à la</w:t>
      </w:r>
      <w:r w:rsidR="00370A72" w:rsidRPr="00A66252">
        <w:rPr>
          <w:szCs w:val="24"/>
          <w:lang w:val="fr-FR" w:eastAsia="fr-FR"/>
        </w:rPr>
        <w:t xml:space="preserve"> </w:t>
      </w:r>
      <w:proofErr w:type="spellStart"/>
      <w:r w:rsidR="00370A72" w:rsidRPr="00A66252">
        <w:rPr>
          <w:szCs w:val="24"/>
          <w:lang w:val="fr-FR" w:eastAsia="fr-FR"/>
        </w:rPr>
        <w:t>bronchopneumopathie</w:t>
      </w:r>
      <w:proofErr w:type="spellEnd"/>
      <w:r w:rsidR="00370A72" w:rsidRPr="00A66252">
        <w:rPr>
          <w:szCs w:val="24"/>
          <w:lang w:val="fr-FR" w:eastAsia="fr-FR"/>
        </w:rPr>
        <w:t xml:space="preserve"> chronique obstructive qui </w:t>
      </w:r>
      <w:r w:rsidR="002A23A4" w:rsidRPr="00A66252">
        <w:rPr>
          <w:szCs w:val="24"/>
          <w:lang w:val="fr-FR" w:eastAsia="fr-FR"/>
        </w:rPr>
        <w:t xml:space="preserve">était </w:t>
      </w:r>
      <w:r w:rsidR="00370A72" w:rsidRPr="00A66252">
        <w:rPr>
          <w:szCs w:val="24"/>
          <w:lang w:val="fr-FR" w:eastAsia="fr-FR"/>
        </w:rPr>
        <w:t xml:space="preserve">à un stade sévère et non contrôlé. </w:t>
      </w:r>
      <w:r w:rsidR="00C22A95" w:rsidRPr="00A66252">
        <w:rPr>
          <w:szCs w:val="24"/>
          <w:lang w:val="fr-FR" w:eastAsia="fr-FR"/>
        </w:rPr>
        <w:t>À</w:t>
      </w:r>
      <w:r w:rsidR="008872C7" w:rsidRPr="00A66252">
        <w:rPr>
          <w:szCs w:val="24"/>
          <w:lang w:val="fr-FR" w:eastAsia="fr-FR"/>
        </w:rPr>
        <w:t xml:space="preserve"> cela s</w:t>
      </w:r>
      <w:r w:rsidR="00A66252" w:rsidRPr="00A66252">
        <w:rPr>
          <w:szCs w:val="24"/>
          <w:lang w:val="fr-FR" w:eastAsia="fr-FR"/>
        </w:rPr>
        <w:t>’</w:t>
      </w:r>
      <w:r w:rsidR="008872C7" w:rsidRPr="00A66252">
        <w:rPr>
          <w:szCs w:val="24"/>
          <w:lang w:val="fr-FR" w:eastAsia="fr-FR"/>
        </w:rPr>
        <w:t>ajout</w:t>
      </w:r>
      <w:r w:rsidR="002A23A4" w:rsidRPr="00A66252">
        <w:rPr>
          <w:szCs w:val="24"/>
          <w:lang w:val="fr-FR" w:eastAsia="fr-FR"/>
        </w:rPr>
        <w:t>ait</w:t>
      </w:r>
      <w:r w:rsidR="00370A72" w:rsidRPr="00A66252">
        <w:rPr>
          <w:szCs w:val="24"/>
          <w:lang w:val="fr-FR" w:eastAsia="fr-FR"/>
        </w:rPr>
        <w:t xml:space="preserve"> que le requérant </w:t>
      </w:r>
      <w:r w:rsidR="002A23A4" w:rsidRPr="00A66252">
        <w:rPr>
          <w:szCs w:val="24"/>
          <w:lang w:val="fr-FR" w:eastAsia="fr-FR"/>
        </w:rPr>
        <w:t xml:space="preserve">était </w:t>
      </w:r>
      <w:r w:rsidR="00370A72" w:rsidRPr="00A66252">
        <w:rPr>
          <w:szCs w:val="24"/>
          <w:lang w:val="fr-FR" w:eastAsia="fr-FR"/>
        </w:rPr>
        <w:t xml:space="preserve">amputé de trois </w:t>
      </w:r>
      <w:r w:rsidR="009B1F6D" w:rsidRPr="00A66252">
        <w:rPr>
          <w:szCs w:val="24"/>
          <w:lang w:val="fr-FR" w:eastAsia="fr-FR"/>
        </w:rPr>
        <w:t xml:space="preserve">doigts </w:t>
      </w:r>
      <w:r w:rsidR="00370A72" w:rsidRPr="00A66252">
        <w:rPr>
          <w:szCs w:val="24"/>
          <w:lang w:val="fr-FR" w:eastAsia="fr-FR"/>
        </w:rPr>
        <w:t>et qu</w:t>
      </w:r>
      <w:r w:rsidR="00A66252" w:rsidRPr="00A66252">
        <w:rPr>
          <w:szCs w:val="24"/>
          <w:lang w:val="fr-FR" w:eastAsia="fr-FR"/>
        </w:rPr>
        <w:t>’</w:t>
      </w:r>
      <w:r w:rsidR="00370A72" w:rsidRPr="00A66252">
        <w:rPr>
          <w:szCs w:val="24"/>
          <w:lang w:val="fr-FR" w:eastAsia="fr-FR"/>
        </w:rPr>
        <w:t xml:space="preserve">il </w:t>
      </w:r>
      <w:r w:rsidR="002A23A4" w:rsidRPr="00A66252">
        <w:rPr>
          <w:szCs w:val="24"/>
          <w:lang w:val="fr-FR" w:eastAsia="fr-FR"/>
        </w:rPr>
        <w:t xml:space="preserve">était </w:t>
      </w:r>
      <w:r w:rsidR="00370A72" w:rsidRPr="00A66252">
        <w:rPr>
          <w:szCs w:val="24"/>
          <w:lang w:val="fr-FR" w:eastAsia="fr-FR"/>
        </w:rPr>
        <w:t>paralysé du bras gauche.</w:t>
      </w:r>
    </w:p>
    <w:bookmarkStart w:id="31" w:name="ACCESMEDGEO"/>
    <w:bookmarkStart w:id="32" w:name="ABSOINSGEO"/>
    <w:p w:rsidR="00A17D8F" w:rsidRPr="00A66252" w:rsidRDefault="00A17D8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141</w:t>
      </w:r>
      <w:r w:rsidRPr="00A66252">
        <w:rPr>
          <w:lang w:val="fr-FR" w:eastAsia="fr-FR"/>
        </w:rPr>
        <w:fldChar w:fldCharType="end"/>
      </w:r>
      <w:bookmarkEnd w:id="31"/>
      <w:bookmarkEnd w:id="32"/>
      <w:r w:rsidRPr="00A66252">
        <w:rPr>
          <w:lang w:val="fr-FR" w:eastAsia="fr-FR"/>
        </w:rPr>
        <w:t>. </w:t>
      </w:r>
      <w:r w:rsidR="00C93FE5" w:rsidRPr="00A66252">
        <w:rPr>
          <w:lang w:val="fr-FR" w:eastAsia="fr-FR"/>
        </w:rPr>
        <w:t> </w:t>
      </w:r>
      <w:r w:rsidR="00C83C75" w:rsidRPr="00A66252">
        <w:rPr>
          <w:lang w:val="fr-FR" w:eastAsia="fr-FR"/>
        </w:rPr>
        <w:t>Outre que d</w:t>
      </w:r>
      <w:r w:rsidR="00A66252" w:rsidRPr="00A66252">
        <w:rPr>
          <w:lang w:val="fr-FR" w:eastAsia="fr-FR"/>
        </w:rPr>
        <w:t>’</w:t>
      </w:r>
      <w:r w:rsidR="00C83C75" w:rsidRPr="00A66252">
        <w:rPr>
          <w:lang w:val="fr-FR" w:eastAsia="fr-FR"/>
        </w:rPr>
        <w:t>après son médecin, l</w:t>
      </w:r>
      <w:r w:rsidR="00A66252" w:rsidRPr="00A66252">
        <w:rPr>
          <w:lang w:val="fr-FR" w:eastAsia="fr-FR"/>
        </w:rPr>
        <w:t>’</w:t>
      </w:r>
      <w:proofErr w:type="spellStart"/>
      <w:r w:rsidR="00C83C75" w:rsidRPr="00A66252">
        <w:rPr>
          <w:lang w:val="fr-FR" w:eastAsia="fr-FR"/>
        </w:rPr>
        <w:t>Ibrutinib</w:t>
      </w:r>
      <w:proofErr w:type="spellEnd"/>
      <w:r w:rsidR="00C83C75" w:rsidRPr="00A66252">
        <w:rPr>
          <w:lang w:val="fr-FR" w:eastAsia="fr-FR"/>
        </w:rPr>
        <w:t xml:space="preserve"> et l</w:t>
      </w:r>
      <w:r w:rsidR="00A66252" w:rsidRPr="00A66252">
        <w:rPr>
          <w:lang w:val="fr-FR" w:eastAsia="fr-FR"/>
        </w:rPr>
        <w:t>’</w:t>
      </w:r>
      <w:r w:rsidR="00C83C75" w:rsidRPr="00A66252">
        <w:rPr>
          <w:lang w:val="fr-FR" w:eastAsia="fr-FR"/>
        </w:rPr>
        <w:t xml:space="preserve">allogreffe ne </w:t>
      </w:r>
      <w:r w:rsidR="002A23A4" w:rsidRPr="00A66252">
        <w:rPr>
          <w:lang w:val="fr-FR" w:eastAsia="fr-FR"/>
        </w:rPr>
        <w:t>n</w:t>
      </w:r>
      <w:r w:rsidR="00A66252" w:rsidRPr="00A66252">
        <w:rPr>
          <w:lang w:val="fr-FR" w:eastAsia="fr-FR"/>
        </w:rPr>
        <w:t>’</w:t>
      </w:r>
      <w:r w:rsidR="002A23A4" w:rsidRPr="00A66252">
        <w:rPr>
          <w:lang w:val="fr-FR" w:eastAsia="fr-FR"/>
        </w:rPr>
        <w:t xml:space="preserve">auraient </w:t>
      </w:r>
      <w:r w:rsidR="00C83C75" w:rsidRPr="00A66252">
        <w:rPr>
          <w:lang w:val="fr-FR" w:eastAsia="fr-FR"/>
        </w:rPr>
        <w:t xml:space="preserve">pas </w:t>
      </w:r>
      <w:r w:rsidR="002A23A4" w:rsidRPr="00A66252">
        <w:rPr>
          <w:lang w:val="fr-FR" w:eastAsia="fr-FR"/>
        </w:rPr>
        <w:t xml:space="preserve">été </w:t>
      </w:r>
      <w:r w:rsidR="00C83C75" w:rsidRPr="00A66252">
        <w:rPr>
          <w:lang w:val="fr-FR" w:eastAsia="fr-FR"/>
        </w:rPr>
        <w:t>disponibles en Géorgie, le requérant ne dispos</w:t>
      </w:r>
      <w:r w:rsidR="002A23A4" w:rsidRPr="00A66252">
        <w:rPr>
          <w:lang w:val="fr-FR" w:eastAsia="fr-FR"/>
        </w:rPr>
        <w:t>ait</w:t>
      </w:r>
      <w:r w:rsidR="00C83C75" w:rsidRPr="00A66252">
        <w:rPr>
          <w:lang w:val="fr-FR" w:eastAsia="fr-FR"/>
        </w:rPr>
        <w:t xml:space="preserve"> d</w:t>
      </w:r>
      <w:r w:rsidR="00A66252" w:rsidRPr="00A66252">
        <w:rPr>
          <w:lang w:val="fr-FR" w:eastAsia="fr-FR"/>
        </w:rPr>
        <w:t>’</w:t>
      </w:r>
      <w:r w:rsidR="00C83C75" w:rsidRPr="00A66252">
        <w:rPr>
          <w:lang w:val="fr-FR" w:eastAsia="fr-FR"/>
        </w:rPr>
        <w:t>aucune garantie qu</w:t>
      </w:r>
      <w:r w:rsidR="00A66252" w:rsidRPr="00A66252">
        <w:rPr>
          <w:lang w:val="fr-FR" w:eastAsia="fr-FR"/>
        </w:rPr>
        <w:t>’</w:t>
      </w:r>
      <w:r w:rsidR="00C83C75" w:rsidRPr="00A66252">
        <w:rPr>
          <w:lang w:val="fr-FR" w:eastAsia="fr-FR"/>
        </w:rPr>
        <w:t xml:space="preserve">il aurait concrètement </w:t>
      </w:r>
      <w:r w:rsidR="002A23A4" w:rsidRPr="00A66252">
        <w:rPr>
          <w:lang w:val="fr-FR" w:eastAsia="fr-FR"/>
        </w:rPr>
        <w:t xml:space="preserve">eu </w:t>
      </w:r>
      <w:r w:rsidR="00C83C75" w:rsidRPr="00A66252">
        <w:rPr>
          <w:lang w:val="fr-FR" w:eastAsia="fr-FR"/>
        </w:rPr>
        <w:t>accès à des traitements dont il a</w:t>
      </w:r>
      <w:r w:rsidR="002A23A4" w:rsidRPr="00A66252">
        <w:rPr>
          <w:lang w:val="fr-FR" w:eastAsia="fr-FR"/>
        </w:rPr>
        <w:t>vait</w:t>
      </w:r>
      <w:r w:rsidR="00C83C75" w:rsidRPr="00A66252">
        <w:rPr>
          <w:lang w:val="fr-FR" w:eastAsia="fr-FR"/>
        </w:rPr>
        <w:t xml:space="preserve"> besoin pour rester en vie é</w:t>
      </w:r>
      <w:r w:rsidR="009B1F6D" w:rsidRPr="00A66252">
        <w:rPr>
          <w:lang w:val="fr-FR" w:eastAsia="fr-FR"/>
        </w:rPr>
        <w:t>tant donné</w:t>
      </w:r>
      <w:r w:rsidR="006600EE" w:rsidRPr="00A66252">
        <w:rPr>
          <w:lang w:val="fr-FR" w:eastAsia="fr-FR"/>
        </w:rPr>
        <w:t xml:space="preserve"> </w:t>
      </w:r>
      <w:r w:rsidR="00370A72" w:rsidRPr="00A66252">
        <w:rPr>
          <w:lang w:val="fr-FR" w:eastAsia="fr-FR"/>
        </w:rPr>
        <w:t xml:space="preserve">les défaillances </w:t>
      </w:r>
      <w:r w:rsidR="009B1F6D" w:rsidRPr="00A66252">
        <w:rPr>
          <w:lang w:val="fr-FR" w:eastAsia="fr-FR"/>
        </w:rPr>
        <w:t xml:space="preserve">avérées </w:t>
      </w:r>
      <w:r w:rsidR="00370A72" w:rsidRPr="00A66252">
        <w:rPr>
          <w:lang w:val="fr-FR" w:eastAsia="fr-FR"/>
        </w:rPr>
        <w:t xml:space="preserve">du </w:t>
      </w:r>
      <w:r w:rsidR="00370A72" w:rsidRPr="00A66252">
        <w:rPr>
          <w:lang w:val="fr-FR" w:eastAsia="fr-FR"/>
        </w:rPr>
        <w:lastRenderedPageBreak/>
        <w:t xml:space="preserve">système de soins de santé en Géorgie. </w:t>
      </w:r>
      <w:r w:rsidRPr="00A66252">
        <w:rPr>
          <w:lang w:val="fr-FR" w:eastAsia="fr-FR"/>
        </w:rPr>
        <w:t>En 2008, la loi sur l</w:t>
      </w:r>
      <w:r w:rsidR="00A66252" w:rsidRPr="00A66252">
        <w:rPr>
          <w:lang w:val="fr-FR" w:eastAsia="fr-FR"/>
        </w:rPr>
        <w:t>’</w:t>
      </w:r>
      <w:r w:rsidRPr="00A66252">
        <w:rPr>
          <w:lang w:val="fr-FR" w:eastAsia="fr-FR"/>
        </w:rPr>
        <w:t>assurance soins de santé obligatoire a</w:t>
      </w:r>
      <w:r w:rsidR="002A23A4" w:rsidRPr="00A66252">
        <w:rPr>
          <w:lang w:val="fr-FR" w:eastAsia="fr-FR"/>
        </w:rPr>
        <w:t>vait</w:t>
      </w:r>
      <w:r w:rsidRPr="00A66252">
        <w:rPr>
          <w:lang w:val="fr-FR" w:eastAsia="fr-FR"/>
        </w:rPr>
        <w:t xml:space="preserve"> été remplacée par un système dual. D</w:t>
      </w:r>
      <w:r w:rsidR="00A66252" w:rsidRPr="00A66252">
        <w:rPr>
          <w:lang w:val="fr-FR" w:eastAsia="fr-FR"/>
        </w:rPr>
        <w:t>’</w:t>
      </w:r>
      <w:r w:rsidRPr="00A66252">
        <w:rPr>
          <w:lang w:val="fr-FR" w:eastAsia="fr-FR"/>
        </w:rPr>
        <w:t xml:space="preserve">une part, les citoyens qui </w:t>
      </w:r>
      <w:r w:rsidR="002A23A4" w:rsidRPr="00A66252">
        <w:rPr>
          <w:lang w:val="fr-FR" w:eastAsia="fr-FR"/>
        </w:rPr>
        <w:t xml:space="preserve">avaient </w:t>
      </w:r>
      <w:r w:rsidRPr="00A66252">
        <w:rPr>
          <w:lang w:val="fr-FR" w:eastAsia="fr-FR"/>
        </w:rPr>
        <w:t xml:space="preserve">les moyens </w:t>
      </w:r>
      <w:r w:rsidR="002A23A4" w:rsidRPr="00A66252">
        <w:rPr>
          <w:lang w:val="fr-FR" w:eastAsia="fr-FR"/>
        </w:rPr>
        <w:t xml:space="preserve">étaient </w:t>
      </w:r>
      <w:r w:rsidRPr="00A66252">
        <w:rPr>
          <w:lang w:val="fr-FR" w:eastAsia="fr-FR"/>
        </w:rPr>
        <w:t xml:space="preserve">encouragés à souscrire des assurances privées et à recourir aux soins prodigués dans les hôpitaux qui </w:t>
      </w:r>
      <w:r w:rsidR="002A23A4" w:rsidRPr="00A66252">
        <w:rPr>
          <w:lang w:val="fr-FR" w:eastAsia="fr-FR"/>
        </w:rPr>
        <w:t xml:space="preserve">avaient </w:t>
      </w:r>
      <w:r w:rsidRPr="00A66252">
        <w:rPr>
          <w:lang w:val="fr-FR" w:eastAsia="fr-FR"/>
        </w:rPr>
        <w:t>progressivement été privatisés. D</w:t>
      </w:r>
      <w:r w:rsidR="00A66252" w:rsidRPr="00A66252">
        <w:rPr>
          <w:lang w:val="fr-FR" w:eastAsia="fr-FR"/>
        </w:rPr>
        <w:t>’</w:t>
      </w:r>
      <w:r w:rsidRPr="00A66252">
        <w:rPr>
          <w:lang w:val="fr-FR" w:eastAsia="fr-FR"/>
        </w:rPr>
        <w:t>autre part, les catégories les plus pauvres (estimée</w:t>
      </w:r>
      <w:r w:rsidR="00C95847" w:rsidRPr="00A66252">
        <w:rPr>
          <w:lang w:val="fr-FR" w:eastAsia="fr-FR"/>
        </w:rPr>
        <w:t>s</w:t>
      </w:r>
      <w:r w:rsidRPr="00A66252">
        <w:rPr>
          <w:lang w:val="fr-FR" w:eastAsia="fr-FR"/>
        </w:rPr>
        <w:t xml:space="preserve"> à 20</w:t>
      </w:r>
      <w:r w:rsidR="006600EE" w:rsidRPr="00A66252">
        <w:rPr>
          <w:lang w:val="fr-FR" w:eastAsia="fr-FR"/>
        </w:rPr>
        <w:t> </w:t>
      </w:r>
      <w:r w:rsidRPr="00A66252">
        <w:rPr>
          <w:lang w:val="fr-FR" w:eastAsia="fr-FR"/>
        </w:rPr>
        <w:t xml:space="preserve">% de la population) </w:t>
      </w:r>
      <w:r w:rsidR="002A23A4" w:rsidRPr="00A66252">
        <w:rPr>
          <w:lang w:val="fr-FR" w:eastAsia="fr-FR"/>
        </w:rPr>
        <w:t xml:space="preserve">étaient </w:t>
      </w:r>
      <w:r w:rsidRPr="00A66252">
        <w:rPr>
          <w:lang w:val="fr-FR" w:eastAsia="fr-FR"/>
        </w:rPr>
        <w:t>en principe éligibles à la prise en charge dans le cadre d</w:t>
      </w:r>
      <w:r w:rsidR="00A66252" w:rsidRPr="00A66252">
        <w:rPr>
          <w:lang w:val="fr-FR" w:eastAsia="fr-FR"/>
        </w:rPr>
        <w:t>’</w:t>
      </w:r>
      <w:r w:rsidRPr="00A66252">
        <w:rPr>
          <w:lang w:val="fr-FR" w:eastAsia="fr-FR"/>
        </w:rPr>
        <w:t>un programme spécial d</w:t>
      </w:r>
      <w:r w:rsidR="00A66252" w:rsidRPr="00A66252">
        <w:rPr>
          <w:lang w:val="fr-FR" w:eastAsia="fr-FR"/>
        </w:rPr>
        <w:t>’</w:t>
      </w:r>
      <w:r w:rsidRPr="00A66252">
        <w:rPr>
          <w:lang w:val="fr-FR" w:eastAsia="fr-FR"/>
        </w:rPr>
        <w:t>assurance universel destiné à permettre l</w:t>
      </w:r>
      <w:r w:rsidR="00A66252" w:rsidRPr="00A66252">
        <w:rPr>
          <w:lang w:val="fr-FR" w:eastAsia="fr-FR"/>
        </w:rPr>
        <w:t>’</w:t>
      </w:r>
      <w:r w:rsidRPr="00A66252">
        <w:rPr>
          <w:lang w:val="fr-FR" w:eastAsia="fr-FR"/>
        </w:rPr>
        <w:t xml:space="preserve">accès gratuit aux soins de santé élémentaires. Toutefois, </w:t>
      </w:r>
      <w:r w:rsidRPr="00A66252">
        <w:rPr>
          <w:i/>
          <w:lang w:val="fr-FR" w:eastAsia="fr-FR"/>
        </w:rPr>
        <w:t>de facto</w:t>
      </w:r>
      <w:r w:rsidRPr="00A66252">
        <w:rPr>
          <w:lang w:val="fr-FR" w:eastAsia="fr-FR"/>
        </w:rPr>
        <w:t>, en raison d</w:t>
      </w:r>
      <w:r w:rsidR="00A66252" w:rsidRPr="00A66252">
        <w:rPr>
          <w:lang w:val="fr-FR" w:eastAsia="fr-FR"/>
        </w:rPr>
        <w:t>’</w:t>
      </w:r>
      <w:r w:rsidRPr="00A66252">
        <w:rPr>
          <w:lang w:val="fr-FR" w:eastAsia="fr-FR"/>
        </w:rPr>
        <w:t>un système inefficace d</w:t>
      </w:r>
      <w:r w:rsidR="00A66252" w:rsidRPr="00A66252">
        <w:rPr>
          <w:lang w:val="fr-FR" w:eastAsia="fr-FR"/>
        </w:rPr>
        <w:t>’</w:t>
      </w:r>
      <w:r w:rsidRPr="00A66252">
        <w:rPr>
          <w:lang w:val="fr-FR" w:eastAsia="fr-FR"/>
        </w:rPr>
        <w:t>éligibilité, les soins d</w:t>
      </w:r>
      <w:r w:rsidR="00A66252" w:rsidRPr="00A66252">
        <w:rPr>
          <w:lang w:val="fr-FR" w:eastAsia="fr-FR"/>
        </w:rPr>
        <w:t>’</w:t>
      </w:r>
      <w:r w:rsidRPr="00A66252">
        <w:rPr>
          <w:lang w:val="fr-FR" w:eastAsia="fr-FR"/>
        </w:rPr>
        <w:t xml:space="preserve">environ la moitié des </w:t>
      </w:r>
      <w:r w:rsidR="00C95847" w:rsidRPr="00A66252">
        <w:rPr>
          <w:lang w:val="fr-FR" w:eastAsia="fr-FR"/>
        </w:rPr>
        <w:t xml:space="preserve">personnes les </w:t>
      </w:r>
      <w:r w:rsidRPr="00A66252">
        <w:rPr>
          <w:lang w:val="fr-FR" w:eastAsia="fr-FR"/>
        </w:rPr>
        <w:t xml:space="preserve">plus pauvres </w:t>
      </w:r>
      <w:r w:rsidR="002A23A4" w:rsidRPr="00A66252">
        <w:rPr>
          <w:lang w:val="fr-FR" w:eastAsia="fr-FR"/>
        </w:rPr>
        <w:t>n</w:t>
      </w:r>
      <w:r w:rsidR="00A66252" w:rsidRPr="00A66252">
        <w:rPr>
          <w:lang w:val="fr-FR" w:eastAsia="fr-FR"/>
        </w:rPr>
        <w:t>’</w:t>
      </w:r>
      <w:r w:rsidR="002A23A4" w:rsidRPr="00A66252">
        <w:rPr>
          <w:lang w:val="fr-FR" w:eastAsia="fr-FR"/>
        </w:rPr>
        <w:t>étaient</w:t>
      </w:r>
      <w:r w:rsidRPr="00A66252">
        <w:rPr>
          <w:lang w:val="fr-FR" w:eastAsia="fr-FR"/>
        </w:rPr>
        <w:t xml:space="preserve"> toujours pas pris en charge. </w:t>
      </w:r>
      <w:r w:rsidR="00C83C75" w:rsidRPr="00A66252">
        <w:rPr>
          <w:lang w:val="fr-FR" w:eastAsia="fr-FR"/>
        </w:rPr>
        <w:t>À</w:t>
      </w:r>
      <w:r w:rsidRPr="00A66252">
        <w:rPr>
          <w:lang w:val="fr-FR" w:eastAsia="fr-FR"/>
        </w:rPr>
        <w:t xml:space="preserve"> cela s</w:t>
      </w:r>
      <w:r w:rsidR="00A66252" w:rsidRPr="00A66252">
        <w:rPr>
          <w:lang w:val="fr-FR" w:eastAsia="fr-FR"/>
        </w:rPr>
        <w:t>’</w:t>
      </w:r>
      <w:r w:rsidRPr="00A66252">
        <w:rPr>
          <w:lang w:val="fr-FR" w:eastAsia="fr-FR"/>
        </w:rPr>
        <w:t>ajout</w:t>
      </w:r>
      <w:r w:rsidR="002A23A4" w:rsidRPr="00A66252">
        <w:rPr>
          <w:lang w:val="fr-FR" w:eastAsia="fr-FR"/>
        </w:rPr>
        <w:t>ait</w:t>
      </w:r>
      <w:r w:rsidRPr="00A66252">
        <w:rPr>
          <w:lang w:val="fr-FR" w:eastAsia="fr-FR"/>
        </w:rPr>
        <w:t xml:space="preserve"> que l</w:t>
      </w:r>
      <w:r w:rsidR="00A66252" w:rsidRPr="00A66252">
        <w:rPr>
          <w:lang w:val="fr-FR" w:eastAsia="fr-FR"/>
        </w:rPr>
        <w:t>’</w:t>
      </w:r>
      <w:r w:rsidRPr="00A66252">
        <w:rPr>
          <w:lang w:val="fr-FR" w:eastAsia="fr-FR"/>
        </w:rPr>
        <w:t>offre de soins et l</w:t>
      </w:r>
      <w:r w:rsidR="00A66252" w:rsidRPr="00A66252">
        <w:rPr>
          <w:lang w:val="fr-FR" w:eastAsia="fr-FR"/>
        </w:rPr>
        <w:t>’</w:t>
      </w:r>
      <w:r w:rsidRPr="00A66252">
        <w:rPr>
          <w:lang w:val="fr-FR" w:eastAsia="fr-FR"/>
        </w:rPr>
        <w:t xml:space="preserve">infrastructure pour les catégories les plus pauvres </w:t>
      </w:r>
      <w:r w:rsidR="002A23A4" w:rsidRPr="00A66252">
        <w:rPr>
          <w:lang w:val="fr-FR" w:eastAsia="fr-FR"/>
        </w:rPr>
        <w:t xml:space="preserve">étaient </w:t>
      </w:r>
      <w:r w:rsidRPr="00A66252">
        <w:rPr>
          <w:lang w:val="fr-FR" w:eastAsia="fr-FR"/>
        </w:rPr>
        <w:t>très restreintes.</w:t>
      </w:r>
    </w:p>
    <w:p w:rsidR="00A17D8F" w:rsidRPr="00A66252" w:rsidRDefault="00A17D8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142</w:t>
      </w:r>
      <w:r w:rsidRPr="00A66252">
        <w:rPr>
          <w:lang w:val="fr-FR" w:eastAsia="fr-FR"/>
        </w:rPr>
        <w:fldChar w:fldCharType="end"/>
      </w:r>
      <w:r w:rsidRPr="00A66252">
        <w:rPr>
          <w:lang w:val="fr-FR" w:eastAsia="fr-FR"/>
        </w:rPr>
        <w:t>. </w:t>
      </w:r>
      <w:r w:rsidR="00C93FE5" w:rsidRPr="00A66252">
        <w:rPr>
          <w:lang w:val="fr-FR" w:eastAsia="fr-FR"/>
        </w:rPr>
        <w:t> </w:t>
      </w:r>
      <w:r w:rsidRPr="00A66252">
        <w:rPr>
          <w:lang w:val="fr-FR" w:eastAsia="fr-FR"/>
        </w:rPr>
        <w:t>Pour le surplus, le requérant estim</w:t>
      </w:r>
      <w:r w:rsidR="002A23A4" w:rsidRPr="00A66252">
        <w:rPr>
          <w:lang w:val="fr-FR" w:eastAsia="fr-FR"/>
        </w:rPr>
        <w:t>ait</w:t>
      </w:r>
      <w:r w:rsidRPr="00A66252">
        <w:rPr>
          <w:lang w:val="fr-FR" w:eastAsia="fr-FR"/>
        </w:rPr>
        <w:t xml:space="preserve"> que la charge de </w:t>
      </w:r>
      <w:r w:rsidR="00215980" w:rsidRPr="00A66252">
        <w:rPr>
          <w:lang w:val="fr-FR" w:eastAsia="fr-FR"/>
        </w:rPr>
        <w:t xml:space="preserve">la </w:t>
      </w:r>
      <w:r w:rsidRPr="00A66252">
        <w:rPr>
          <w:lang w:val="fr-FR" w:eastAsia="fr-FR"/>
        </w:rPr>
        <w:t>preuve de l</w:t>
      </w:r>
      <w:r w:rsidR="00A66252" w:rsidRPr="00A66252">
        <w:rPr>
          <w:lang w:val="fr-FR" w:eastAsia="fr-FR"/>
        </w:rPr>
        <w:t>’</w:t>
      </w:r>
      <w:r w:rsidRPr="00A66252">
        <w:rPr>
          <w:lang w:val="fr-FR" w:eastAsia="fr-FR"/>
        </w:rPr>
        <w:t>accessibilité concrète et réelle aux soins de santé en Géorgie repos</w:t>
      </w:r>
      <w:r w:rsidR="00DD367C" w:rsidRPr="00A66252">
        <w:rPr>
          <w:lang w:val="fr-FR" w:eastAsia="fr-FR"/>
        </w:rPr>
        <w:t>ait</w:t>
      </w:r>
      <w:r w:rsidRPr="00A66252">
        <w:rPr>
          <w:lang w:val="fr-FR" w:eastAsia="fr-FR"/>
        </w:rPr>
        <w:t xml:space="preserve"> sur les autorités belges</w:t>
      </w:r>
      <w:r w:rsidR="000314B0" w:rsidRPr="00A66252">
        <w:rPr>
          <w:lang w:val="fr-FR" w:eastAsia="fr-FR"/>
        </w:rPr>
        <w:t xml:space="preserve"> dont les moyens d</w:t>
      </w:r>
      <w:r w:rsidR="00A66252" w:rsidRPr="00A66252">
        <w:rPr>
          <w:lang w:val="fr-FR" w:eastAsia="fr-FR"/>
        </w:rPr>
        <w:t>’</w:t>
      </w:r>
      <w:r w:rsidR="000314B0" w:rsidRPr="00A66252">
        <w:rPr>
          <w:lang w:val="fr-FR" w:eastAsia="fr-FR"/>
        </w:rPr>
        <w:t xml:space="preserve">investigation </w:t>
      </w:r>
      <w:r w:rsidR="00DD367C" w:rsidRPr="00A66252">
        <w:rPr>
          <w:lang w:val="fr-FR" w:eastAsia="fr-FR"/>
        </w:rPr>
        <w:t xml:space="preserve">étaient </w:t>
      </w:r>
      <w:r w:rsidR="000314B0" w:rsidRPr="00A66252">
        <w:rPr>
          <w:lang w:val="fr-FR" w:eastAsia="fr-FR"/>
        </w:rPr>
        <w:t>plus importants</w:t>
      </w:r>
      <w:r w:rsidRPr="00A66252">
        <w:rPr>
          <w:lang w:val="fr-FR" w:eastAsia="fr-FR"/>
        </w:rPr>
        <w:t>.</w:t>
      </w:r>
    </w:p>
    <w:p w:rsidR="00A17D8F" w:rsidRPr="00A66252" w:rsidRDefault="00A17D8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143</w:t>
      </w:r>
      <w:r w:rsidRPr="00A66252">
        <w:rPr>
          <w:lang w:val="fr-FR" w:eastAsia="fr-FR"/>
        </w:rPr>
        <w:fldChar w:fldCharType="end"/>
      </w:r>
      <w:r w:rsidRPr="00A66252">
        <w:rPr>
          <w:lang w:val="fr-FR" w:eastAsia="fr-FR"/>
        </w:rPr>
        <w:t>.  Plus précisément, il revenait aux  autorités  belges, dans le cadre de la demande de régularisation fondée sur l</w:t>
      </w:r>
      <w:r w:rsidR="00A66252" w:rsidRPr="00A66252">
        <w:rPr>
          <w:lang w:val="fr-FR" w:eastAsia="fr-FR"/>
        </w:rPr>
        <w:t>’</w:t>
      </w:r>
      <w:r w:rsidRPr="00A66252">
        <w:rPr>
          <w:lang w:val="fr-FR" w:eastAsia="fr-FR"/>
        </w:rPr>
        <w:t>article 9</w:t>
      </w:r>
      <w:r w:rsidRPr="00A66252">
        <w:rPr>
          <w:i/>
          <w:lang w:val="fr-FR" w:eastAsia="fr-FR"/>
        </w:rPr>
        <w:t xml:space="preserve">ter </w:t>
      </w:r>
      <w:r w:rsidRPr="00A66252">
        <w:rPr>
          <w:lang w:val="fr-FR" w:eastAsia="fr-FR"/>
        </w:rPr>
        <w:t xml:space="preserve">de la loi sur les étrangers, </w:t>
      </w:r>
      <w:r w:rsidR="009B1F6D" w:rsidRPr="00A66252">
        <w:rPr>
          <w:lang w:val="fr-FR" w:eastAsia="fr-FR"/>
        </w:rPr>
        <w:t>d</w:t>
      </w:r>
      <w:r w:rsidR="00A66252" w:rsidRPr="00A66252">
        <w:rPr>
          <w:lang w:val="fr-FR" w:eastAsia="fr-FR"/>
        </w:rPr>
        <w:t>’</w:t>
      </w:r>
      <w:r w:rsidR="009B1F6D" w:rsidRPr="00A66252">
        <w:rPr>
          <w:lang w:val="fr-FR" w:eastAsia="fr-FR"/>
        </w:rPr>
        <w:t>examiner le risque de violation de l</w:t>
      </w:r>
      <w:r w:rsidR="00A66252" w:rsidRPr="00A66252">
        <w:rPr>
          <w:lang w:val="fr-FR" w:eastAsia="fr-FR"/>
        </w:rPr>
        <w:t>’</w:t>
      </w:r>
      <w:r w:rsidR="009B1F6D" w:rsidRPr="00A66252">
        <w:rPr>
          <w:lang w:val="fr-FR" w:eastAsia="fr-FR"/>
        </w:rPr>
        <w:t xml:space="preserve">article 3 </w:t>
      </w:r>
      <w:r w:rsidR="00E10C63" w:rsidRPr="00A66252">
        <w:rPr>
          <w:lang w:val="fr-FR" w:eastAsia="fr-FR"/>
        </w:rPr>
        <w:t xml:space="preserve">de la Convention </w:t>
      </w:r>
      <w:r w:rsidR="009B1F6D" w:rsidRPr="00A66252">
        <w:rPr>
          <w:lang w:val="fr-FR" w:eastAsia="fr-FR"/>
        </w:rPr>
        <w:t>et de ne pas exclure le requérant par principe de la seule possibilité de faire valoir un droit fondamental</w:t>
      </w:r>
      <w:r w:rsidR="00F76A4A" w:rsidRPr="00A66252">
        <w:rPr>
          <w:lang w:val="fr-FR" w:eastAsia="fr-FR"/>
        </w:rPr>
        <w:t xml:space="preserve">. </w:t>
      </w:r>
      <w:r w:rsidR="00C95847" w:rsidRPr="00A66252">
        <w:rPr>
          <w:lang w:val="fr-FR" w:eastAsia="fr-FR"/>
        </w:rPr>
        <w:t>À</w:t>
      </w:r>
      <w:r w:rsidR="00F76A4A" w:rsidRPr="00A66252">
        <w:rPr>
          <w:lang w:val="fr-FR" w:eastAsia="fr-FR"/>
        </w:rPr>
        <w:t xml:space="preserve"> ce titre, elles devaient</w:t>
      </w:r>
      <w:r w:rsidR="009B1F6D" w:rsidRPr="00A66252">
        <w:rPr>
          <w:lang w:val="fr-FR" w:eastAsia="fr-FR"/>
        </w:rPr>
        <w:t xml:space="preserve"> </w:t>
      </w:r>
      <w:r w:rsidR="00F76A4A" w:rsidRPr="00A66252">
        <w:rPr>
          <w:lang w:val="fr-FR" w:eastAsia="fr-FR"/>
        </w:rPr>
        <w:t>tenir</w:t>
      </w:r>
      <w:r w:rsidR="009B1F6D" w:rsidRPr="00A66252">
        <w:rPr>
          <w:lang w:val="fr-FR" w:eastAsia="fr-FR"/>
        </w:rPr>
        <w:t xml:space="preserve"> compte </w:t>
      </w:r>
      <w:r w:rsidR="00E10C63" w:rsidRPr="00A66252">
        <w:rPr>
          <w:lang w:val="fr-FR" w:eastAsia="fr-FR"/>
        </w:rPr>
        <w:t xml:space="preserve">tant </w:t>
      </w:r>
      <w:r w:rsidR="009B1F6D" w:rsidRPr="00A66252">
        <w:rPr>
          <w:lang w:val="fr-FR" w:eastAsia="fr-FR"/>
        </w:rPr>
        <w:t>des</w:t>
      </w:r>
      <w:r w:rsidRPr="00A66252">
        <w:rPr>
          <w:lang w:val="fr-FR" w:eastAsia="fr-FR"/>
        </w:rPr>
        <w:t xml:space="preserve"> éléments dont elles disposaient quant à la situation personnelle, familiale et médicale, du requérant que des éléments relatifs aux défaillances du systè</w:t>
      </w:r>
      <w:r w:rsidR="009B1F6D" w:rsidRPr="00A66252">
        <w:rPr>
          <w:lang w:val="fr-FR" w:eastAsia="fr-FR"/>
        </w:rPr>
        <w:t>me de soins de santé en Géorgie</w:t>
      </w:r>
      <w:r w:rsidRPr="00A66252">
        <w:rPr>
          <w:lang w:val="fr-FR" w:eastAsia="fr-FR"/>
        </w:rPr>
        <w:t>.</w:t>
      </w:r>
    </w:p>
    <w:p w:rsidR="00A17D8F" w:rsidRPr="00A66252" w:rsidRDefault="00A17D8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144</w:t>
      </w:r>
      <w:r w:rsidRPr="00A66252">
        <w:rPr>
          <w:lang w:val="fr-FR" w:eastAsia="fr-FR"/>
        </w:rPr>
        <w:fldChar w:fldCharType="end"/>
      </w:r>
      <w:r w:rsidRPr="00A66252">
        <w:rPr>
          <w:lang w:val="fr-FR" w:eastAsia="fr-FR"/>
        </w:rPr>
        <w:t>.  </w:t>
      </w:r>
      <w:r w:rsidR="00800622" w:rsidRPr="00A66252">
        <w:rPr>
          <w:lang w:val="fr-FR" w:eastAsia="fr-FR"/>
        </w:rPr>
        <w:t>A fortiori, à supposer que l</w:t>
      </w:r>
      <w:r w:rsidR="00A66252" w:rsidRPr="00A66252">
        <w:rPr>
          <w:lang w:val="fr-FR" w:eastAsia="fr-FR"/>
        </w:rPr>
        <w:t>’</w:t>
      </w:r>
      <w:r w:rsidR="00800622" w:rsidRPr="00A66252">
        <w:rPr>
          <w:lang w:val="fr-FR" w:eastAsia="fr-FR"/>
        </w:rPr>
        <w:t>É</w:t>
      </w:r>
      <w:r w:rsidRPr="00A66252">
        <w:rPr>
          <w:lang w:val="fr-FR" w:eastAsia="fr-FR"/>
        </w:rPr>
        <w:t xml:space="preserve">tat belge ait analysé </w:t>
      </w:r>
      <w:r w:rsidR="00970121" w:rsidRPr="00A66252">
        <w:rPr>
          <w:lang w:val="fr-FR" w:eastAsia="fr-FR"/>
        </w:rPr>
        <w:t>le bien-fondé de la</w:t>
      </w:r>
      <w:r w:rsidRPr="00A66252">
        <w:rPr>
          <w:lang w:val="fr-FR" w:eastAsia="fr-FR"/>
        </w:rPr>
        <w:t xml:space="preserve"> demande</w:t>
      </w:r>
      <w:r w:rsidR="00970121" w:rsidRPr="00A66252">
        <w:rPr>
          <w:lang w:val="fr-FR" w:eastAsia="fr-FR"/>
        </w:rPr>
        <w:t xml:space="preserve"> d</w:t>
      </w:r>
      <w:r w:rsidR="00A66252" w:rsidRPr="00A66252">
        <w:rPr>
          <w:lang w:val="fr-FR" w:eastAsia="fr-FR"/>
        </w:rPr>
        <w:t>’</w:t>
      </w:r>
      <w:r w:rsidR="00970121" w:rsidRPr="00A66252">
        <w:rPr>
          <w:lang w:val="fr-FR" w:eastAsia="fr-FR"/>
        </w:rPr>
        <w:t>autorisation de séjour</w:t>
      </w:r>
      <w:r w:rsidRPr="00A66252">
        <w:rPr>
          <w:lang w:val="fr-FR" w:eastAsia="fr-FR"/>
        </w:rPr>
        <w:t>, il ne pouvait se contenter de présumer que le requérant serait traité conformément aux exigences de</w:t>
      </w:r>
      <w:r w:rsidR="00E10C63" w:rsidRPr="00A66252">
        <w:rPr>
          <w:lang w:val="fr-FR" w:eastAsia="fr-FR"/>
        </w:rPr>
        <w:t xml:space="preserve"> la Convention. Comme l</w:t>
      </w:r>
      <w:r w:rsidR="00A66252" w:rsidRPr="00A66252">
        <w:rPr>
          <w:lang w:val="fr-FR" w:eastAsia="fr-FR"/>
        </w:rPr>
        <w:t>’</w:t>
      </w:r>
      <w:r w:rsidR="00E10C63" w:rsidRPr="00A66252">
        <w:rPr>
          <w:lang w:val="fr-FR" w:eastAsia="fr-FR"/>
        </w:rPr>
        <w:t>enseignait</w:t>
      </w:r>
      <w:r w:rsidRPr="00A66252">
        <w:rPr>
          <w:lang w:val="fr-FR" w:eastAsia="fr-FR"/>
        </w:rPr>
        <w:t xml:space="preserve"> la jurisprudence </w:t>
      </w:r>
      <w:r w:rsidRPr="00A66252">
        <w:rPr>
          <w:i/>
          <w:lang w:val="fr-FR" w:eastAsia="fr-FR"/>
        </w:rPr>
        <w:t>M.S.S.</w:t>
      </w:r>
      <w:r w:rsidR="00450D2B" w:rsidRPr="00A66252">
        <w:rPr>
          <w:i/>
          <w:lang w:val="fr-FR" w:eastAsia="fr-FR"/>
        </w:rPr>
        <w:t xml:space="preserve"> c. Belgique et Gr</w:t>
      </w:r>
      <w:r w:rsidR="00450D2B" w:rsidRPr="00A66252">
        <w:rPr>
          <w:rFonts w:cstheme="minorHAnsi"/>
          <w:i/>
          <w:lang w:val="fr-FR" w:eastAsia="fr-FR"/>
        </w:rPr>
        <w:t>è</w:t>
      </w:r>
      <w:r w:rsidR="00450D2B" w:rsidRPr="00A66252">
        <w:rPr>
          <w:i/>
          <w:lang w:val="fr-FR" w:eastAsia="fr-FR"/>
        </w:rPr>
        <w:t>ce</w:t>
      </w:r>
      <w:r w:rsidR="003758D4" w:rsidRPr="00A66252">
        <w:rPr>
          <w:i/>
          <w:lang w:val="fr-FR" w:eastAsia="fr-FR"/>
        </w:rPr>
        <w:t xml:space="preserve">, </w:t>
      </w:r>
      <w:r w:rsidRPr="00A66252">
        <w:rPr>
          <w:lang w:val="fr-FR" w:eastAsia="fr-FR"/>
        </w:rPr>
        <w:t>la circ</w:t>
      </w:r>
      <w:r w:rsidR="00800622" w:rsidRPr="00A66252">
        <w:rPr>
          <w:lang w:val="fr-FR" w:eastAsia="fr-FR"/>
        </w:rPr>
        <w:t>onstance que la Géorgie est un É</w:t>
      </w:r>
      <w:r w:rsidRPr="00A66252">
        <w:rPr>
          <w:lang w:val="fr-FR" w:eastAsia="fr-FR"/>
        </w:rPr>
        <w:t>tat partie à la Convention ne permet</w:t>
      </w:r>
      <w:r w:rsidR="00E10C63" w:rsidRPr="00A66252">
        <w:rPr>
          <w:lang w:val="fr-FR" w:eastAsia="fr-FR"/>
        </w:rPr>
        <w:t>tait</w:t>
      </w:r>
      <w:r w:rsidRPr="00A66252">
        <w:rPr>
          <w:lang w:val="fr-FR" w:eastAsia="fr-FR"/>
        </w:rPr>
        <w:t xml:space="preserve"> pas de présumer </w:t>
      </w:r>
      <w:r w:rsidRPr="00A66252">
        <w:rPr>
          <w:i/>
          <w:lang w:val="fr-FR" w:eastAsia="fr-FR"/>
        </w:rPr>
        <w:t>ipso facto</w:t>
      </w:r>
      <w:r w:rsidR="00800622" w:rsidRPr="00A66252">
        <w:rPr>
          <w:lang w:val="fr-FR" w:eastAsia="fr-FR"/>
        </w:rPr>
        <w:t xml:space="preserve"> que cet É</w:t>
      </w:r>
      <w:r w:rsidRPr="00A66252">
        <w:rPr>
          <w:lang w:val="fr-FR" w:eastAsia="fr-FR"/>
        </w:rPr>
        <w:t>tat ne pourrait se rendre responsable de violation</w:t>
      </w:r>
      <w:r w:rsidR="00215980" w:rsidRPr="00A66252">
        <w:rPr>
          <w:lang w:val="fr-FR" w:eastAsia="fr-FR"/>
        </w:rPr>
        <w:t>s</w:t>
      </w:r>
      <w:r w:rsidRPr="00A66252">
        <w:rPr>
          <w:lang w:val="fr-FR" w:eastAsia="fr-FR"/>
        </w:rPr>
        <w:t xml:space="preserve"> de la Convention. L</w:t>
      </w:r>
      <w:r w:rsidR="00A66252" w:rsidRPr="00A66252">
        <w:rPr>
          <w:lang w:val="fr-FR" w:eastAsia="fr-FR"/>
        </w:rPr>
        <w:t>’</w:t>
      </w:r>
      <w:r w:rsidRPr="00A66252">
        <w:rPr>
          <w:lang w:val="fr-FR" w:eastAsia="fr-FR"/>
        </w:rPr>
        <w:t>acceptation de traités garantissant le respect des droits fondamentaux ne suffit pas à assurer une protection adéquate contre le risque de mauvais traitements lorsque, comme en l</w:t>
      </w:r>
      <w:r w:rsidR="00A66252" w:rsidRPr="00A66252">
        <w:rPr>
          <w:lang w:val="fr-FR" w:eastAsia="fr-FR"/>
        </w:rPr>
        <w:t>’</w:t>
      </w:r>
      <w:r w:rsidRPr="00A66252">
        <w:rPr>
          <w:lang w:val="fr-FR" w:eastAsia="fr-FR"/>
        </w:rPr>
        <w:t xml:space="preserve">espèce, des sources fiables </w:t>
      </w:r>
      <w:r w:rsidR="005B425E" w:rsidRPr="00A66252">
        <w:rPr>
          <w:lang w:val="fr-FR" w:eastAsia="fr-FR"/>
        </w:rPr>
        <w:t>faisaient</w:t>
      </w:r>
      <w:r w:rsidRPr="00A66252">
        <w:rPr>
          <w:lang w:val="fr-FR" w:eastAsia="fr-FR"/>
        </w:rPr>
        <w:t xml:space="preserve"> état de pratiques des autorités, ou tolérées par elles, manifestement contraires à la Convention.</w:t>
      </w:r>
    </w:p>
    <w:p w:rsidR="006F355F" w:rsidRPr="00A66252" w:rsidRDefault="00A17D8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145</w:t>
      </w:r>
      <w:r w:rsidRPr="00A66252">
        <w:rPr>
          <w:lang w:val="fr-FR" w:eastAsia="fr-FR"/>
        </w:rPr>
        <w:fldChar w:fldCharType="end"/>
      </w:r>
      <w:r w:rsidRPr="00A66252">
        <w:rPr>
          <w:lang w:val="fr-FR" w:eastAsia="fr-FR"/>
        </w:rPr>
        <w:t>.  Au contraire, il appartenait aux autorités belges de s</w:t>
      </w:r>
      <w:r w:rsidR="00A66252" w:rsidRPr="00A66252">
        <w:rPr>
          <w:lang w:val="fr-FR" w:eastAsia="fr-FR"/>
        </w:rPr>
        <w:t>’</w:t>
      </w:r>
      <w:r w:rsidRPr="00A66252">
        <w:rPr>
          <w:lang w:val="fr-FR" w:eastAsia="fr-FR"/>
        </w:rPr>
        <w:t>enquérir et de s</w:t>
      </w:r>
      <w:r w:rsidR="00A66252" w:rsidRPr="00A66252">
        <w:rPr>
          <w:lang w:val="fr-FR" w:eastAsia="fr-FR"/>
        </w:rPr>
        <w:t>’</w:t>
      </w:r>
      <w:r w:rsidRPr="00A66252">
        <w:rPr>
          <w:lang w:val="fr-FR" w:eastAsia="fr-FR"/>
        </w:rPr>
        <w:t>assurer au préalable de la manière dont les autorités géorgiennes pouvaient effectivement et concrètement garantir les soins de santé dont le requérant avait besoin pour sa survie et le traitement de sa maladie conformément à la dignité humaine.</w:t>
      </w:r>
      <w:r w:rsidR="009B1F6D" w:rsidRPr="00A66252">
        <w:rPr>
          <w:lang w:val="fr-FR" w:eastAsia="fr-FR"/>
        </w:rPr>
        <w:t xml:space="preserve"> </w:t>
      </w:r>
      <w:r w:rsidR="00500EF8" w:rsidRPr="00A66252">
        <w:rPr>
          <w:lang w:val="fr-FR" w:eastAsia="fr-FR"/>
        </w:rPr>
        <w:t>L</w:t>
      </w:r>
      <w:r w:rsidR="00A66252" w:rsidRPr="00A66252">
        <w:rPr>
          <w:lang w:val="fr-FR" w:eastAsia="fr-FR"/>
        </w:rPr>
        <w:t>’</w:t>
      </w:r>
      <w:r w:rsidR="006F355F" w:rsidRPr="00A66252">
        <w:rPr>
          <w:lang w:val="fr-FR" w:eastAsia="fr-FR"/>
        </w:rPr>
        <w:t xml:space="preserve">accès aux soins </w:t>
      </w:r>
      <w:r w:rsidR="00A7773B" w:rsidRPr="00A66252">
        <w:rPr>
          <w:lang w:val="fr-FR" w:eastAsia="fr-FR"/>
        </w:rPr>
        <w:t xml:space="preserve">ne </w:t>
      </w:r>
      <w:r w:rsidR="005B425E" w:rsidRPr="00A66252">
        <w:rPr>
          <w:lang w:val="fr-FR" w:eastAsia="fr-FR"/>
        </w:rPr>
        <w:t>devait</w:t>
      </w:r>
      <w:r w:rsidR="006F355F" w:rsidRPr="00A66252">
        <w:rPr>
          <w:lang w:val="fr-FR" w:eastAsia="fr-FR"/>
        </w:rPr>
        <w:t xml:space="preserve"> en effet pas être théorique mais réel et garanti</w:t>
      </w:r>
      <w:r w:rsidR="009B1F6D" w:rsidRPr="00A66252">
        <w:rPr>
          <w:lang w:val="fr-FR" w:eastAsia="fr-FR"/>
        </w:rPr>
        <w:t>.</w:t>
      </w:r>
    </w:p>
    <w:p w:rsidR="00A17D8F" w:rsidRPr="00A66252" w:rsidRDefault="009B1F6D"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146</w:t>
      </w:r>
      <w:r w:rsidRPr="00A66252">
        <w:rPr>
          <w:lang w:val="fr-FR" w:eastAsia="fr-FR"/>
        </w:rPr>
        <w:fldChar w:fldCharType="end"/>
      </w:r>
      <w:r w:rsidRPr="00A66252">
        <w:rPr>
          <w:lang w:val="fr-FR" w:eastAsia="fr-FR"/>
        </w:rPr>
        <w:t>.  </w:t>
      </w:r>
      <w:r w:rsidR="004B53FD" w:rsidRPr="00A66252">
        <w:rPr>
          <w:lang w:val="fr-FR" w:eastAsia="fr-FR"/>
        </w:rPr>
        <w:t>À défaut d</w:t>
      </w:r>
      <w:r w:rsidR="00A66252" w:rsidRPr="00A66252">
        <w:rPr>
          <w:lang w:val="fr-FR" w:eastAsia="fr-FR"/>
        </w:rPr>
        <w:t>’</w:t>
      </w:r>
      <w:r w:rsidR="004B53FD" w:rsidRPr="00A66252">
        <w:rPr>
          <w:lang w:val="fr-FR" w:eastAsia="fr-FR"/>
        </w:rPr>
        <w:t xml:space="preserve">avoir contribué, au moment </w:t>
      </w:r>
      <w:r w:rsidR="00500EF8" w:rsidRPr="00A66252">
        <w:rPr>
          <w:lang w:val="fr-FR" w:eastAsia="fr-FR"/>
        </w:rPr>
        <w:t xml:space="preserve">du rejet </w:t>
      </w:r>
      <w:r w:rsidR="004B53FD" w:rsidRPr="00A66252">
        <w:rPr>
          <w:lang w:val="fr-FR" w:eastAsia="fr-FR"/>
        </w:rPr>
        <w:t>de la demande de séjour, à la vérification de l</w:t>
      </w:r>
      <w:r w:rsidR="00A66252" w:rsidRPr="00A66252">
        <w:rPr>
          <w:lang w:val="fr-FR" w:eastAsia="fr-FR"/>
        </w:rPr>
        <w:t>’</w:t>
      </w:r>
      <w:r w:rsidR="004B53FD" w:rsidRPr="00A66252">
        <w:rPr>
          <w:lang w:val="fr-FR" w:eastAsia="fr-FR"/>
        </w:rPr>
        <w:t>accessibilité concrète et réelle en Géorgie des soins dont le requérant avait besoin et e</w:t>
      </w:r>
      <w:r w:rsidR="00A17D8F" w:rsidRPr="00A66252">
        <w:rPr>
          <w:lang w:val="fr-FR" w:eastAsia="fr-FR"/>
        </w:rPr>
        <w:t>n l</w:t>
      </w:r>
      <w:r w:rsidR="00A66252" w:rsidRPr="00A66252">
        <w:rPr>
          <w:lang w:val="fr-FR" w:eastAsia="fr-FR"/>
        </w:rPr>
        <w:t>’</w:t>
      </w:r>
      <w:r w:rsidR="00A17D8F" w:rsidRPr="00A66252">
        <w:rPr>
          <w:lang w:val="fr-FR" w:eastAsia="fr-FR"/>
        </w:rPr>
        <w:t>absence de garanties</w:t>
      </w:r>
      <w:r w:rsidR="004B53FD" w:rsidRPr="00A66252">
        <w:rPr>
          <w:lang w:val="fr-FR" w:eastAsia="fr-FR"/>
        </w:rPr>
        <w:t xml:space="preserve"> à ce sujet</w:t>
      </w:r>
      <w:r w:rsidR="00800622" w:rsidRPr="00A66252">
        <w:rPr>
          <w:lang w:val="fr-FR" w:eastAsia="fr-FR"/>
        </w:rPr>
        <w:t>, la responsabilité de l</w:t>
      </w:r>
      <w:r w:rsidR="00A66252" w:rsidRPr="00A66252">
        <w:rPr>
          <w:lang w:val="fr-FR" w:eastAsia="fr-FR"/>
        </w:rPr>
        <w:t>’</w:t>
      </w:r>
      <w:r w:rsidR="00800622" w:rsidRPr="00A66252">
        <w:rPr>
          <w:lang w:val="fr-FR" w:eastAsia="fr-FR"/>
        </w:rPr>
        <w:t>É</w:t>
      </w:r>
      <w:r w:rsidR="00A17D8F" w:rsidRPr="00A66252">
        <w:rPr>
          <w:lang w:val="fr-FR" w:eastAsia="fr-FR"/>
        </w:rPr>
        <w:t xml:space="preserve">tat belge </w:t>
      </w:r>
      <w:r w:rsidR="00DD367C" w:rsidRPr="00A66252">
        <w:rPr>
          <w:lang w:val="fr-FR" w:eastAsia="fr-FR"/>
        </w:rPr>
        <w:t xml:space="preserve">aurait été </w:t>
      </w:r>
      <w:r w:rsidR="00A17D8F" w:rsidRPr="00A66252">
        <w:rPr>
          <w:lang w:val="fr-FR" w:eastAsia="fr-FR"/>
        </w:rPr>
        <w:t>engagée au regard de l</w:t>
      </w:r>
      <w:r w:rsidR="00A66252" w:rsidRPr="00A66252">
        <w:rPr>
          <w:lang w:val="fr-FR" w:eastAsia="fr-FR"/>
        </w:rPr>
        <w:t>’</w:t>
      </w:r>
      <w:r w:rsidR="00A17D8F" w:rsidRPr="00A66252">
        <w:rPr>
          <w:lang w:val="fr-FR" w:eastAsia="fr-FR"/>
        </w:rPr>
        <w:t xml:space="preserve">article 3 de la </w:t>
      </w:r>
      <w:r w:rsidR="00A17D8F" w:rsidRPr="00A66252">
        <w:rPr>
          <w:lang w:val="fr-FR" w:eastAsia="fr-FR"/>
        </w:rPr>
        <w:lastRenderedPageBreak/>
        <w:t>Convention s</w:t>
      </w:r>
      <w:r w:rsidR="00A66252" w:rsidRPr="00A66252">
        <w:rPr>
          <w:lang w:val="fr-FR" w:eastAsia="fr-FR"/>
        </w:rPr>
        <w:t>’</w:t>
      </w:r>
      <w:r w:rsidR="00A17D8F" w:rsidRPr="00A66252">
        <w:rPr>
          <w:lang w:val="fr-FR" w:eastAsia="fr-FR"/>
        </w:rPr>
        <w:t xml:space="preserve">il </w:t>
      </w:r>
      <w:r w:rsidR="00DD367C" w:rsidRPr="00A66252">
        <w:rPr>
          <w:lang w:val="fr-FR" w:eastAsia="fr-FR"/>
        </w:rPr>
        <w:t xml:space="preserve">avait </w:t>
      </w:r>
      <w:r w:rsidR="00A17D8F" w:rsidRPr="00A66252">
        <w:rPr>
          <w:lang w:val="fr-FR" w:eastAsia="fr-FR"/>
        </w:rPr>
        <w:t>poursui</w:t>
      </w:r>
      <w:r w:rsidR="00DD367C" w:rsidRPr="00A66252">
        <w:rPr>
          <w:lang w:val="fr-FR" w:eastAsia="fr-FR"/>
        </w:rPr>
        <w:t>vi</w:t>
      </w:r>
      <w:r w:rsidR="00A17D8F" w:rsidRPr="00A66252">
        <w:rPr>
          <w:lang w:val="fr-FR" w:eastAsia="fr-FR"/>
        </w:rPr>
        <w:t xml:space="preserve"> l</w:t>
      </w:r>
      <w:r w:rsidR="00A66252" w:rsidRPr="00A66252">
        <w:rPr>
          <w:lang w:val="fr-FR" w:eastAsia="fr-FR"/>
        </w:rPr>
        <w:t>’</w:t>
      </w:r>
      <w:r w:rsidR="00A17D8F" w:rsidRPr="00A66252">
        <w:rPr>
          <w:lang w:val="fr-FR" w:eastAsia="fr-FR"/>
        </w:rPr>
        <w:t>éloignement du requérant vers la Géorgie</w:t>
      </w:r>
      <w:r w:rsidRPr="00A66252">
        <w:rPr>
          <w:lang w:val="fr-FR" w:eastAsia="fr-FR"/>
        </w:rPr>
        <w:t>. Ce renvoi l</w:t>
      </w:r>
      <w:r w:rsidR="00A66252" w:rsidRPr="00A66252">
        <w:rPr>
          <w:lang w:val="fr-FR" w:eastAsia="fr-FR"/>
        </w:rPr>
        <w:t>’</w:t>
      </w:r>
      <w:r w:rsidRPr="00A66252">
        <w:rPr>
          <w:lang w:val="fr-FR" w:eastAsia="fr-FR"/>
        </w:rPr>
        <w:t>expos</w:t>
      </w:r>
      <w:r w:rsidR="00DD367C" w:rsidRPr="00A66252">
        <w:rPr>
          <w:lang w:val="fr-FR" w:eastAsia="fr-FR"/>
        </w:rPr>
        <w:t>ait</w:t>
      </w:r>
      <w:r w:rsidRPr="00A66252">
        <w:rPr>
          <w:lang w:val="fr-FR" w:eastAsia="fr-FR"/>
        </w:rPr>
        <w:t xml:space="preserve"> en effet </w:t>
      </w:r>
      <w:r w:rsidR="00A17D8F" w:rsidRPr="00A66252">
        <w:rPr>
          <w:lang w:val="fr-FR" w:eastAsia="fr-FR"/>
        </w:rPr>
        <w:t xml:space="preserve">au risque de subir des traitements inhumains ou dégradants et </w:t>
      </w:r>
      <w:r w:rsidRPr="00A66252">
        <w:rPr>
          <w:lang w:val="fr-FR" w:eastAsia="fr-FR"/>
        </w:rPr>
        <w:t xml:space="preserve">à </w:t>
      </w:r>
      <w:r w:rsidR="00A17D8F" w:rsidRPr="00A66252">
        <w:rPr>
          <w:lang w:val="fr-FR" w:eastAsia="fr-FR"/>
        </w:rPr>
        <w:t>une mort plus rapide du fait de l</w:t>
      </w:r>
      <w:r w:rsidR="00A66252" w:rsidRPr="00A66252">
        <w:rPr>
          <w:lang w:val="fr-FR" w:eastAsia="fr-FR"/>
        </w:rPr>
        <w:t>’</w:t>
      </w:r>
      <w:r w:rsidR="00A17D8F" w:rsidRPr="00A66252">
        <w:rPr>
          <w:lang w:val="fr-FR" w:eastAsia="fr-FR"/>
        </w:rPr>
        <w:t>interruption des traitements lourds et spécialisés en cours en Belgique et de l</w:t>
      </w:r>
      <w:r w:rsidR="00A66252" w:rsidRPr="00A66252">
        <w:rPr>
          <w:lang w:val="fr-FR" w:eastAsia="fr-FR"/>
        </w:rPr>
        <w:t>’</w:t>
      </w:r>
      <w:r w:rsidR="00A17D8F" w:rsidRPr="00A66252">
        <w:rPr>
          <w:lang w:val="fr-FR" w:eastAsia="fr-FR"/>
        </w:rPr>
        <w:t>anéantissement de toute espérance de subir une allogreffe, auquel s</w:t>
      </w:r>
      <w:r w:rsidR="00A66252" w:rsidRPr="00A66252">
        <w:rPr>
          <w:lang w:val="fr-FR" w:eastAsia="fr-FR"/>
        </w:rPr>
        <w:t>’</w:t>
      </w:r>
      <w:r w:rsidR="00A17D8F" w:rsidRPr="00A66252">
        <w:rPr>
          <w:lang w:val="fr-FR" w:eastAsia="fr-FR"/>
        </w:rPr>
        <w:t>ajout</w:t>
      </w:r>
      <w:r w:rsidR="00DD367C" w:rsidRPr="00A66252">
        <w:rPr>
          <w:lang w:val="fr-FR" w:eastAsia="fr-FR"/>
        </w:rPr>
        <w:t>ait</w:t>
      </w:r>
      <w:r w:rsidR="00A17D8F" w:rsidRPr="00A66252">
        <w:rPr>
          <w:lang w:val="fr-FR" w:eastAsia="fr-FR"/>
        </w:rPr>
        <w:t xml:space="preserve"> l</w:t>
      </w:r>
      <w:r w:rsidR="00A66252" w:rsidRPr="00A66252">
        <w:rPr>
          <w:lang w:val="fr-FR" w:eastAsia="fr-FR"/>
        </w:rPr>
        <w:t>’</w:t>
      </w:r>
      <w:r w:rsidR="00A17D8F" w:rsidRPr="00A66252">
        <w:rPr>
          <w:lang w:val="fr-FR" w:eastAsia="fr-FR"/>
        </w:rPr>
        <w:t xml:space="preserve">impact que le renvoi aurait </w:t>
      </w:r>
      <w:r w:rsidR="00DD367C" w:rsidRPr="00A66252">
        <w:rPr>
          <w:lang w:val="fr-FR" w:eastAsia="fr-FR"/>
        </w:rPr>
        <w:t xml:space="preserve">eu </w:t>
      </w:r>
      <w:r w:rsidR="00A17D8F" w:rsidRPr="00A66252">
        <w:rPr>
          <w:lang w:val="fr-FR" w:eastAsia="fr-FR"/>
        </w:rPr>
        <w:t xml:space="preserve">sur sa famille – autant de circonstances humanitaires </w:t>
      </w:r>
      <w:r w:rsidRPr="00A66252">
        <w:rPr>
          <w:lang w:val="fr-FR" w:eastAsia="fr-FR"/>
        </w:rPr>
        <w:t xml:space="preserve">que la Cour pourrait considérer comme </w:t>
      </w:r>
      <w:r w:rsidR="00A17D8F" w:rsidRPr="00A66252">
        <w:rPr>
          <w:lang w:val="fr-FR" w:eastAsia="fr-FR"/>
        </w:rPr>
        <w:t>« exceptionnelles » au sens de</w:t>
      </w:r>
      <w:r w:rsidR="00A74306" w:rsidRPr="00A66252">
        <w:rPr>
          <w:lang w:val="fr-FR" w:eastAsia="fr-FR"/>
        </w:rPr>
        <w:t>s</w:t>
      </w:r>
      <w:r w:rsidR="00A17D8F" w:rsidRPr="00A66252">
        <w:rPr>
          <w:lang w:val="fr-FR" w:eastAsia="fr-FR"/>
        </w:rPr>
        <w:t xml:space="preserve"> jurisprudence</w:t>
      </w:r>
      <w:r w:rsidR="00A74306" w:rsidRPr="00A66252">
        <w:rPr>
          <w:lang w:val="fr-FR" w:eastAsia="fr-FR"/>
        </w:rPr>
        <w:t>s</w:t>
      </w:r>
      <w:r w:rsidR="00A17D8F" w:rsidRPr="00A66252">
        <w:rPr>
          <w:lang w:val="fr-FR" w:eastAsia="fr-FR"/>
        </w:rPr>
        <w:t xml:space="preserve"> </w:t>
      </w:r>
      <w:r w:rsidR="00A17D8F" w:rsidRPr="00A66252">
        <w:rPr>
          <w:i/>
          <w:lang w:val="fr-FR" w:eastAsia="fr-FR"/>
        </w:rPr>
        <w:t>D.</w:t>
      </w:r>
      <w:r w:rsidR="00970121" w:rsidRPr="00A66252">
        <w:rPr>
          <w:i/>
          <w:lang w:val="fr-FR" w:eastAsia="fr-FR"/>
        </w:rPr>
        <w:t xml:space="preserve"> c. Royaume-Uni</w:t>
      </w:r>
      <w:r w:rsidR="00970121" w:rsidRPr="00A66252">
        <w:rPr>
          <w:lang w:val="fr-FR" w:eastAsia="fr-FR"/>
        </w:rPr>
        <w:t xml:space="preserve"> </w:t>
      </w:r>
      <w:r w:rsidR="00743A7B" w:rsidRPr="00A66252">
        <w:rPr>
          <w:lang w:val="fr-FR"/>
        </w:rPr>
        <w:t xml:space="preserve">(2 mai 1997, </w:t>
      </w:r>
      <w:r w:rsidR="00743A7B" w:rsidRPr="00A66252">
        <w:rPr>
          <w:i/>
          <w:lang w:val="fr-FR"/>
        </w:rPr>
        <w:t>Recueil des arrêts et décisions</w:t>
      </w:r>
      <w:r w:rsidR="00743A7B" w:rsidRPr="00A66252">
        <w:rPr>
          <w:lang w:val="fr-FR"/>
        </w:rPr>
        <w:t xml:space="preserve"> 1997</w:t>
      </w:r>
      <w:r w:rsidR="00743A7B" w:rsidRPr="00A66252">
        <w:rPr>
          <w:rFonts w:ascii="MS Mincho" w:eastAsia="MS Mincho" w:hAnsi="MS Mincho" w:cs="MS Mincho" w:hint="eastAsia"/>
          <w:lang w:val="fr-FR"/>
        </w:rPr>
        <w:t>‑</w:t>
      </w:r>
      <w:r w:rsidR="00743A7B" w:rsidRPr="00A66252">
        <w:rPr>
          <w:lang w:val="fr-FR"/>
        </w:rPr>
        <w:t xml:space="preserve">III) </w:t>
      </w:r>
      <w:r w:rsidR="00A17D8F" w:rsidRPr="00A66252">
        <w:rPr>
          <w:lang w:val="fr-FR" w:eastAsia="fr-FR"/>
        </w:rPr>
        <w:t xml:space="preserve">et </w:t>
      </w:r>
      <w:r w:rsidR="00A17D8F" w:rsidRPr="00A66252">
        <w:rPr>
          <w:i/>
          <w:lang w:val="fr-FR" w:eastAsia="fr-FR"/>
        </w:rPr>
        <w:t>N.</w:t>
      </w:r>
      <w:r w:rsidR="00963A36" w:rsidRPr="00A66252">
        <w:rPr>
          <w:i/>
          <w:lang w:val="fr-FR" w:eastAsia="fr-FR"/>
        </w:rPr>
        <w:t xml:space="preserve"> c. </w:t>
      </w:r>
      <w:r w:rsidR="006600EE" w:rsidRPr="00A66252">
        <w:rPr>
          <w:i/>
          <w:lang w:val="fr-FR" w:eastAsia="fr-FR"/>
        </w:rPr>
        <w:t>Royaume-Uni</w:t>
      </w:r>
      <w:r w:rsidR="006600EE" w:rsidRPr="00A66252">
        <w:rPr>
          <w:lang w:val="fr-FR" w:eastAsia="fr-FR"/>
        </w:rPr>
        <w:t>,</w:t>
      </w:r>
      <w:r w:rsidR="00A17D8F" w:rsidRPr="00A66252">
        <w:rPr>
          <w:lang w:val="fr-FR" w:eastAsia="fr-FR"/>
        </w:rPr>
        <w:t xml:space="preserve"> </w:t>
      </w:r>
      <w:r w:rsidR="00743A7B" w:rsidRPr="00A66252">
        <w:rPr>
          <w:lang w:val="fr-FR" w:eastAsia="fr-FR"/>
        </w:rPr>
        <w:t>précité</w:t>
      </w:r>
      <w:r w:rsidR="00A74306" w:rsidRPr="00A66252">
        <w:rPr>
          <w:lang w:val="fr-FR" w:eastAsia="fr-FR"/>
        </w:rPr>
        <w:t>.</w:t>
      </w:r>
    </w:p>
    <w:p w:rsidR="00A66252" w:rsidRPr="00A66252" w:rsidRDefault="00A17D8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147</w:t>
      </w:r>
      <w:r w:rsidRPr="00A66252">
        <w:rPr>
          <w:lang w:val="fr-FR" w:eastAsia="fr-FR"/>
        </w:rPr>
        <w:fldChar w:fldCharType="end"/>
      </w:r>
      <w:r w:rsidRPr="00A66252">
        <w:rPr>
          <w:lang w:val="fr-FR" w:eastAsia="fr-FR"/>
        </w:rPr>
        <w:t>.  Le requérant fai</w:t>
      </w:r>
      <w:r w:rsidR="00DD367C" w:rsidRPr="00A66252">
        <w:rPr>
          <w:lang w:val="fr-FR" w:eastAsia="fr-FR"/>
        </w:rPr>
        <w:t>sai</w:t>
      </w:r>
      <w:r w:rsidRPr="00A66252">
        <w:rPr>
          <w:lang w:val="fr-FR" w:eastAsia="fr-FR"/>
        </w:rPr>
        <w:t xml:space="preserve">t </w:t>
      </w:r>
      <w:r w:rsidR="00710018" w:rsidRPr="00A66252">
        <w:rPr>
          <w:lang w:val="fr-FR" w:eastAsia="fr-FR"/>
        </w:rPr>
        <w:t>en outre</w:t>
      </w:r>
      <w:r w:rsidRPr="00A66252">
        <w:rPr>
          <w:lang w:val="fr-FR" w:eastAsia="fr-FR"/>
        </w:rPr>
        <w:t xml:space="preserve"> valoir que le maintien de sa situation d</w:t>
      </w:r>
      <w:r w:rsidR="00A66252" w:rsidRPr="00A66252">
        <w:rPr>
          <w:lang w:val="fr-FR" w:eastAsia="fr-FR"/>
        </w:rPr>
        <w:t>’</w:t>
      </w:r>
      <w:r w:rsidRPr="00A66252">
        <w:rPr>
          <w:lang w:val="fr-FR" w:eastAsia="fr-FR"/>
        </w:rPr>
        <w:t>irrégularité du séjour pendant plus de sept ans après qu</w:t>
      </w:r>
      <w:r w:rsidR="00A66252" w:rsidRPr="00A66252">
        <w:rPr>
          <w:lang w:val="fr-FR" w:eastAsia="fr-FR"/>
        </w:rPr>
        <w:t>’</w:t>
      </w:r>
      <w:r w:rsidRPr="00A66252">
        <w:rPr>
          <w:lang w:val="fr-FR" w:eastAsia="fr-FR"/>
        </w:rPr>
        <w:t xml:space="preserve">il </w:t>
      </w:r>
      <w:r w:rsidR="00DD367C" w:rsidRPr="00A66252">
        <w:rPr>
          <w:lang w:val="fr-FR" w:eastAsia="fr-FR"/>
        </w:rPr>
        <w:t xml:space="preserve">eut </w:t>
      </w:r>
      <w:r w:rsidRPr="00A66252">
        <w:rPr>
          <w:lang w:val="fr-FR" w:eastAsia="fr-FR"/>
        </w:rPr>
        <w:t>sollicité une autorisation de séjour pour raison</w:t>
      </w:r>
      <w:r w:rsidR="00313D0B" w:rsidRPr="00A66252">
        <w:rPr>
          <w:lang w:val="fr-FR" w:eastAsia="fr-FR"/>
        </w:rPr>
        <w:t>s</w:t>
      </w:r>
      <w:r w:rsidRPr="00A66252">
        <w:rPr>
          <w:lang w:val="fr-FR" w:eastAsia="fr-FR"/>
        </w:rPr>
        <w:t xml:space="preserve"> médicale</w:t>
      </w:r>
      <w:r w:rsidR="00313D0B" w:rsidRPr="00A66252">
        <w:rPr>
          <w:lang w:val="fr-FR" w:eastAsia="fr-FR"/>
        </w:rPr>
        <w:t>s</w:t>
      </w:r>
      <w:r w:rsidR="00BD54B6" w:rsidRPr="00A66252">
        <w:rPr>
          <w:lang w:val="fr-FR" w:eastAsia="fr-FR"/>
        </w:rPr>
        <w:t>,</w:t>
      </w:r>
      <w:r w:rsidRPr="00A66252">
        <w:rPr>
          <w:lang w:val="fr-FR" w:eastAsia="fr-FR"/>
        </w:rPr>
        <w:t xml:space="preserve"> </w:t>
      </w:r>
      <w:r w:rsidR="00970121" w:rsidRPr="00A66252">
        <w:rPr>
          <w:lang w:val="fr-FR" w:eastAsia="fr-FR"/>
        </w:rPr>
        <w:t xml:space="preserve">sans avoir </w:t>
      </w:r>
      <w:r w:rsidR="003524BE" w:rsidRPr="00A66252">
        <w:rPr>
          <w:lang w:val="fr-FR" w:eastAsia="fr-FR"/>
        </w:rPr>
        <w:t>analysé le bien</w:t>
      </w:r>
      <w:r w:rsidR="003524BE" w:rsidRPr="00A66252">
        <w:rPr>
          <w:lang w:val="fr-FR" w:eastAsia="fr-FR"/>
        </w:rPr>
        <w:noBreakHyphen/>
      </w:r>
      <w:r w:rsidR="00BD54B6" w:rsidRPr="00A66252">
        <w:rPr>
          <w:lang w:val="fr-FR" w:eastAsia="fr-FR"/>
        </w:rPr>
        <w:t xml:space="preserve">fondé de sa demande, </w:t>
      </w:r>
      <w:r w:rsidRPr="00A66252">
        <w:rPr>
          <w:lang w:val="fr-FR" w:eastAsia="fr-FR"/>
        </w:rPr>
        <w:t>a</w:t>
      </w:r>
      <w:r w:rsidR="00DD367C" w:rsidRPr="00A66252">
        <w:rPr>
          <w:lang w:val="fr-FR" w:eastAsia="fr-FR"/>
        </w:rPr>
        <w:t>vait</w:t>
      </w:r>
      <w:r w:rsidRPr="00A66252">
        <w:rPr>
          <w:lang w:val="fr-FR" w:eastAsia="fr-FR"/>
        </w:rPr>
        <w:t xml:space="preserve"> grandement contribué à </w:t>
      </w:r>
      <w:r w:rsidR="00313D0B" w:rsidRPr="00A66252">
        <w:rPr>
          <w:lang w:val="fr-FR" w:eastAsia="fr-FR"/>
        </w:rPr>
        <w:t>la précarité de sa situation et à sa vulnérabilité</w:t>
      </w:r>
      <w:r w:rsidRPr="00A66252">
        <w:rPr>
          <w:lang w:val="fr-FR" w:eastAsia="fr-FR"/>
        </w:rPr>
        <w:t>.</w:t>
      </w:r>
    </w:p>
    <w:p w:rsidR="00A17D8F" w:rsidRPr="00A66252" w:rsidRDefault="00313D0B"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148</w:t>
      </w:r>
      <w:r w:rsidRPr="00A66252">
        <w:rPr>
          <w:lang w:val="fr-FR" w:eastAsia="fr-FR"/>
        </w:rPr>
        <w:fldChar w:fldCharType="end"/>
      </w:r>
      <w:r w:rsidRPr="00A66252">
        <w:rPr>
          <w:lang w:val="fr-FR" w:eastAsia="fr-FR"/>
        </w:rPr>
        <w:t>.  </w:t>
      </w:r>
      <w:r w:rsidR="00710018" w:rsidRPr="00A66252">
        <w:rPr>
          <w:lang w:val="fr-FR" w:eastAsia="fr-FR"/>
        </w:rPr>
        <w:t xml:space="preserve">En résumé, </w:t>
      </w:r>
      <w:r w:rsidR="00A17D8F" w:rsidRPr="00A66252">
        <w:rPr>
          <w:lang w:val="fr-FR" w:eastAsia="fr-FR"/>
        </w:rPr>
        <w:t>le requérant a</w:t>
      </w:r>
      <w:r w:rsidR="00DD367C" w:rsidRPr="00A66252">
        <w:rPr>
          <w:lang w:val="fr-FR" w:eastAsia="fr-FR"/>
        </w:rPr>
        <w:t>vait</w:t>
      </w:r>
      <w:r w:rsidR="00A17D8F" w:rsidRPr="00A66252">
        <w:rPr>
          <w:lang w:val="fr-FR" w:eastAsia="fr-FR"/>
        </w:rPr>
        <w:t xml:space="preserve"> un besoin accru de protection du fait de sa particulière vulnérabilité liée à son état de santé, à l</w:t>
      </w:r>
      <w:r w:rsidR="00A66252" w:rsidRPr="00A66252">
        <w:rPr>
          <w:lang w:val="fr-FR" w:eastAsia="fr-FR"/>
        </w:rPr>
        <w:t>’</w:t>
      </w:r>
      <w:r w:rsidR="00A17D8F" w:rsidRPr="00A66252">
        <w:rPr>
          <w:lang w:val="fr-FR" w:eastAsia="fr-FR"/>
        </w:rPr>
        <w:t>enjeu pour sa vie et son intégrité physique, à sa dépendance affective et financière, et à l</w:t>
      </w:r>
      <w:r w:rsidR="00A66252" w:rsidRPr="00A66252">
        <w:rPr>
          <w:lang w:val="fr-FR" w:eastAsia="fr-FR"/>
        </w:rPr>
        <w:t>’</w:t>
      </w:r>
      <w:r w:rsidR="00A17D8F" w:rsidRPr="00A66252">
        <w:rPr>
          <w:lang w:val="fr-FR" w:eastAsia="fr-FR"/>
        </w:rPr>
        <w:t>existence de liens familiaux en Belgique.</w:t>
      </w:r>
      <w:r w:rsidR="00800622" w:rsidRPr="00A66252">
        <w:rPr>
          <w:lang w:val="fr-FR" w:eastAsia="fr-FR"/>
        </w:rPr>
        <w:t xml:space="preserve"> La responsabilité de l</w:t>
      </w:r>
      <w:r w:rsidR="00A66252" w:rsidRPr="00A66252">
        <w:rPr>
          <w:lang w:val="fr-FR" w:eastAsia="fr-FR"/>
        </w:rPr>
        <w:t>’</w:t>
      </w:r>
      <w:r w:rsidR="00800622" w:rsidRPr="00A66252">
        <w:rPr>
          <w:lang w:val="fr-FR" w:eastAsia="fr-FR"/>
        </w:rPr>
        <w:t>É</w:t>
      </w:r>
      <w:r w:rsidR="00710018" w:rsidRPr="00A66252">
        <w:rPr>
          <w:lang w:val="fr-FR" w:eastAsia="fr-FR"/>
        </w:rPr>
        <w:t>tat belge au regard de l</w:t>
      </w:r>
      <w:r w:rsidR="00A66252" w:rsidRPr="00A66252">
        <w:rPr>
          <w:lang w:val="fr-FR" w:eastAsia="fr-FR"/>
        </w:rPr>
        <w:t>’</w:t>
      </w:r>
      <w:r w:rsidR="00710018" w:rsidRPr="00A66252">
        <w:rPr>
          <w:lang w:val="fr-FR" w:eastAsia="fr-FR"/>
        </w:rPr>
        <w:t xml:space="preserve">article 3 </w:t>
      </w:r>
      <w:r w:rsidR="006F355F" w:rsidRPr="00A66252">
        <w:rPr>
          <w:lang w:val="fr-FR" w:eastAsia="fr-FR"/>
        </w:rPr>
        <w:t xml:space="preserve">de la Convention </w:t>
      </w:r>
      <w:r w:rsidR="00710018" w:rsidRPr="00A66252">
        <w:rPr>
          <w:lang w:val="fr-FR" w:eastAsia="fr-FR"/>
        </w:rPr>
        <w:t>résult</w:t>
      </w:r>
      <w:r w:rsidR="00DD367C" w:rsidRPr="00A66252">
        <w:rPr>
          <w:lang w:val="fr-FR" w:eastAsia="fr-FR"/>
        </w:rPr>
        <w:t>ait</w:t>
      </w:r>
      <w:r w:rsidR="00710018" w:rsidRPr="00A66252">
        <w:rPr>
          <w:lang w:val="fr-FR" w:eastAsia="fr-FR"/>
        </w:rPr>
        <w:t xml:space="preserve"> de ce qu</w:t>
      </w:r>
      <w:r w:rsidR="00A66252" w:rsidRPr="00A66252">
        <w:rPr>
          <w:lang w:val="fr-FR" w:eastAsia="fr-FR"/>
        </w:rPr>
        <w:t>’</w:t>
      </w:r>
      <w:r w:rsidR="00710018" w:rsidRPr="00A66252">
        <w:rPr>
          <w:lang w:val="fr-FR" w:eastAsia="fr-FR"/>
        </w:rPr>
        <w:t>il poursui</w:t>
      </w:r>
      <w:r w:rsidR="00DD367C" w:rsidRPr="00A66252">
        <w:rPr>
          <w:lang w:val="fr-FR" w:eastAsia="fr-FR"/>
        </w:rPr>
        <w:t>vai</w:t>
      </w:r>
      <w:r w:rsidR="00710018" w:rsidRPr="00A66252">
        <w:rPr>
          <w:lang w:val="fr-FR" w:eastAsia="fr-FR"/>
        </w:rPr>
        <w:t>t l</w:t>
      </w:r>
      <w:r w:rsidR="00A66252" w:rsidRPr="00A66252">
        <w:rPr>
          <w:lang w:val="fr-FR" w:eastAsia="fr-FR"/>
        </w:rPr>
        <w:t>’</w:t>
      </w:r>
      <w:r w:rsidR="00710018" w:rsidRPr="00A66252">
        <w:rPr>
          <w:lang w:val="fr-FR" w:eastAsia="fr-FR"/>
        </w:rPr>
        <w:t>éloignement du requérant sans tenir compte de ces éléments, manquant ainsi de respect pour sa dignité, et l</w:t>
      </w:r>
      <w:r w:rsidR="00A66252" w:rsidRPr="00A66252">
        <w:rPr>
          <w:lang w:val="fr-FR" w:eastAsia="fr-FR"/>
        </w:rPr>
        <w:t>’</w:t>
      </w:r>
      <w:r w:rsidR="00710018" w:rsidRPr="00A66252">
        <w:rPr>
          <w:lang w:val="fr-FR" w:eastAsia="fr-FR"/>
        </w:rPr>
        <w:t>exposant</w:t>
      </w:r>
      <w:r w:rsidR="006F355F" w:rsidRPr="00A66252">
        <w:rPr>
          <w:lang w:val="fr-FR" w:eastAsia="fr-FR"/>
        </w:rPr>
        <w:t>,</w:t>
      </w:r>
      <w:r w:rsidR="00710018" w:rsidRPr="00A66252">
        <w:rPr>
          <w:lang w:val="fr-FR" w:eastAsia="fr-FR"/>
        </w:rPr>
        <w:t xml:space="preserve"> </w:t>
      </w:r>
      <w:r w:rsidR="006F355F" w:rsidRPr="00A66252">
        <w:rPr>
          <w:lang w:val="fr-FR" w:eastAsia="fr-FR"/>
        </w:rPr>
        <w:t xml:space="preserve">en cas de retour en Géorgie, </w:t>
      </w:r>
      <w:r w:rsidR="00710018" w:rsidRPr="00A66252">
        <w:rPr>
          <w:lang w:val="fr-FR" w:eastAsia="fr-FR"/>
        </w:rPr>
        <w:t xml:space="preserve">à un risque </w:t>
      </w:r>
      <w:r w:rsidR="006F355F" w:rsidRPr="00A66252">
        <w:rPr>
          <w:lang w:val="fr-FR" w:eastAsia="fr-FR"/>
        </w:rPr>
        <w:t>sérieux de détérioration grave et rapide de son état de santé jusqu</w:t>
      </w:r>
      <w:r w:rsidR="00A66252" w:rsidRPr="00A66252">
        <w:rPr>
          <w:lang w:val="fr-FR" w:eastAsia="fr-FR"/>
        </w:rPr>
        <w:t>’</w:t>
      </w:r>
      <w:r w:rsidR="006F355F" w:rsidRPr="00A66252">
        <w:rPr>
          <w:lang w:val="fr-FR" w:eastAsia="fr-FR"/>
        </w:rPr>
        <w:t xml:space="preserve">à </w:t>
      </w:r>
      <w:r w:rsidR="00710018" w:rsidRPr="00A66252">
        <w:rPr>
          <w:lang w:val="fr-FR" w:eastAsia="fr-FR"/>
        </w:rPr>
        <w:t>une mort certaine et rapprochée.</w:t>
      </w:r>
    </w:p>
    <w:p w:rsidR="00A74306" w:rsidRPr="00A66252" w:rsidRDefault="00A7773B"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149</w:t>
      </w:r>
      <w:r w:rsidRPr="00A66252">
        <w:rPr>
          <w:lang w:val="fr-FR" w:eastAsia="fr-FR"/>
        </w:rPr>
        <w:fldChar w:fldCharType="end"/>
      </w:r>
      <w:r w:rsidRPr="00A66252">
        <w:rPr>
          <w:lang w:val="fr-FR" w:eastAsia="fr-FR"/>
        </w:rPr>
        <w:t>.  </w:t>
      </w:r>
      <w:r w:rsidR="00A01792" w:rsidRPr="00A66252">
        <w:rPr>
          <w:lang w:val="fr-FR" w:eastAsia="fr-FR"/>
        </w:rPr>
        <w:t>Le requérant souhait</w:t>
      </w:r>
      <w:r w:rsidR="00DD367C" w:rsidRPr="00A66252">
        <w:rPr>
          <w:lang w:val="fr-FR" w:eastAsia="fr-FR"/>
        </w:rPr>
        <w:t>ait</w:t>
      </w:r>
      <w:r w:rsidR="00A01792" w:rsidRPr="00A66252">
        <w:rPr>
          <w:lang w:val="fr-FR" w:eastAsia="fr-FR"/>
        </w:rPr>
        <w:t xml:space="preserve"> que la Cour dépasse sa jurisprudence </w:t>
      </w:r>
      <w:r w:rsidR="00A01792" w:rsidRPr="00A66252">
        <w:rPr>
          <w:i/>
          <w:lang w:val="fr-FR" w:eastAsia="fr-FR"/>
        </w:rPr>
        <w:t>N.</w:t>
      </w:r>
      <w:r w:rsidR="004D08D2" w:rsidRPr="00A66252">
        <w:rPr>
          <w:i/>
          <w:lang w:val="fr-FR" w:eastAsia="fr-FR"/>
        </w:rPr>
        <w:t> </w:t>
      </w:r>
      <w:r w:rsidR="003524BE" w:rsidRPr="00A66252">
        <w:rPr>
          <w:i/>
          <w:lang w:val="fr-FR" w:eastAsia="fr-FR"/>
        </w:rPr>
        <w:t>c. </w:t>
      </w:r>
      <w:r w:rsidR="00963A36" w:rsidRPr="00A66252">
        <w:rPr>
          <w:i/>
          <w:lang w:val="fr-FR" w:eastAsia="fr-FR"/>
        </w:rPr>
        <w:t>Royaume-Uni</w:t>
      </w:r>
      <w:r w:rsidR="00A01792" w:rsidRPr="00A66252">
        <w:rPr>
          <w:lang w:val="fr-FR" w:eastAsia="fr-FR"/>
        </w:rPr>
        <w:t xml:space="preserve"> et définisse, au vu de ces éléments, un seuil de g</w:t>
      </w:r>
      <w:r w:rsidR="005B425E" w:rsidRPr="00A66252">
        <w:rPr>
          <w:lang w:val="fr-FR" w:eastAsia="fr-FR"/>
        </w:rPr>
        <w:t>ravité réaliste qui ne se limitait</w:t>
      </w:r>
      <w:r w:rsidR="00A01792" w:rsidRPr="00A66252">
        <w:rPr>
          <w:lang w:val="fr-FR" w:eastAsia="fr-FR"/>
        </w:rPr>
        <w:t xml:space="preserve"> plus à consacrer un « droit de mourir dignement ».</w:t>
      </w:r>
      <w:r w:rsidR="001F3C3E" w:rsidRPr="00A66252">
        <w:rPr>
          <w:lang w:val="fr-FR" w:eastAsia="fr-FR"/>
        </w:rPr>
        <w:t xml:space="preserve"> Il se préva</w:t>
      </w:r>
      <w:r w:rsidR="00DD367C" w:rsidRPr="00A66252">
        <w:rPr>
          <w:lang w:val="fr-FR" w:eastAsia="fr-FR"/>
        </w:rPr>
        <w:t>lai</w:t>
      </w:r>
      <w:r w:rsidR="001F3C3E" w:rsidRPr="00A66252">
        <w:rPr>
          <w:lang w:val="fr-FR" w:eastAsia="fr-FR"/>
        </w:rPr>
        <w:t>t à ce sujet de l</w:t>
      </w:r>
      <w:r w:rsidR="00A66252" w:rsidRPr="00A66252">
        <w:rPr>
          <w:lang w:val="fr-FR" w:eastAsia="fr-FR"/>
        </w:rPr>
        <w:t>’</w:t>
      </w:r>
      <w:r w:rsidR="001F3C3E" w:rsidRPr="00A66252">
        <w:rPr>
          <w:lang w:val="fr-FR" w:eastAsia="fr-FR"/>
        </w:rPr>
        <w:t xml:space="preserve">évolution récente de la jurisprudence belge </w:t>
      </w:r>
      <w:r w:rsidR="00DF1A8E" w:rsidRPr="00A66252">
        <w:rPr>
          <w:lang w:val="fr-FR" w:eastAsia="fr-FR"/>
        </w:rPr>
        <w:t>qui a</w:t>
      </w:r>
      <w:r w:rsidR="00DD367C" w:rsidRPr="00A66252">
        <w:rPr>
          <w:lang w:val="fr-FR" w:eastAsia="fr-FR"/>
        </w:rPr>
        <w:t>vait</w:t>
      </w:r>
      <w:r w:rsidR="00DF1A8E" w:rsidRPr="00A66252">
        <w:rPr>
          <w:lang w:val="fr-FR" w:eastAsia="fr-FR"/>
        </w:rPr>
        <w:t xml:space="preserve"> pris de </w:t>
      </w:r>
      <w:r w:rsidR="001F3C3E" w:rsidRPr="00A66252">
        <w:rPr>
          <w:lang w:val="fr-FR" w:eastAsia="fr-FR"/>
        </w:rPr>
        <w:t xml:space="preserve">la distance </w:t>
      </w:r>
      <w:r w:rsidR="00DF1A8E" w:rsidRPr="00A66252">
        <w:rPr>
          <w:lang w:val="fr-FR" w:eastAsia="fr-FR"/>
        </w:rPr>
        <w:t xml:space="preserve">par rapport à la jurisprudence </w:t>
      </w:r>
      <w:r w:rsidR="00DF1A8E" w:rsidRPr="00A66252">
        <w:rPr>
          <w:i/>
          <w:lang w:val="fr-FR" w:eastAsia="fr-FR"/>
        </w:rPr>
        <w:t>N.</w:t>
      </w:r>
      <w:r w:rsidR="00963A36" w:rsidRPr="00A66252">
        <w:rPr>
          <w:i/>
          <w:lang w:val="fr-FR" w:eastAsia="fr-FR"/>
        </w:rPr>
        <w:t xml:space="preserve"> c. Royaume-Uni</w:t>
      </w:r>
      <w:r w:rsidR="00DF1A8E" w:rsidRPr="00A66252">
        <w:rPr>
          <w:lang w:val="fr-FR" w:eastAsia="fr-FR"/>
        </w:rPr>
        <w:t xml:space="preserve"> et offr</w:t>
      </w:r>
      <w:r w:rsidR="00DD367C" w:rsidRPr="00A66252">
        <w:rPr>
          <w:lang w:val="fr-FR" w:eastAsia="fr-FR"/>
        </w:rPr>
        <w:t>ait</w:t>
      </w:r>
      <w:r w:rsidR="00DF1A8E" w:rsidRPr="00A66252">
        <w:rPr>
          <w:lang w:val="fr-FR" w:eastAsia="fr-FR"/>
        </w:rPr>
        <w:t xml:space="preserve"> désormais une protection plus étendue que celle prévue par l</w:t>
      </w:r>
      <w:r w:rsidR="00A66252" w:rsidRPr="00A66252">
        <w:rPr>
          <w:lang w:val="fr-FR" w:eastAsia="fr-FR"/>
        </w:rPr>
        <w:t>’</w:t>
      </w:r>
      <w:r w:rsidR="00DF1A8E" w:rsidRPr="00A66252">
        <w:rPr>
          <w:lang w:val="fr-FR" w:eastAsia="fr-FR"/>
        </w:rPr>
        <w:t>article 3 de la Convention</w:t>
      </w:r>
      <w:r w:rsidR="001A3877" w:rsidRPr="00A66252">
        <w:rPr>
          <w:lang w:val="fr-FR" w:eastAsia="fr-FR"/>
        </w:rPr>
        <w:t xml:space="preserve"> (voir paragraphe</w:t>
      </w:r>
      <w:r w:rsidR="00C579B0" w:rsidRPr="00A66252">
        <w:rPr>
          <w:lang w:val="fr-FR" w:eastAsia="fr-FR"/>
        </w:rPr>
        <w:t>s</w:t>
      </w:r>
      <w:r w:rsidR="001A3877" w:rsidRPr="00A66252">
        <w:rPr>
          <w:lang w:val="fr-FR" w:eastAsia="fr-FR"/>
        </w:rPr>
        <w:t xml:space="preserve"> </w:t>
      </w:r>
      <w:r w:rsidR="00C579B0" w:rsidRPr="00A66252">
        <w:rPr>
          <w:lang w:val="fr-FR" w:eastAsia="fr-FR"/>
        </w:rPr>
        <w:fldChar w:fldCharType="begin"/>
      </w:r>
      <w:r w:rsidR="00C579B0" w:rsidRPr="00A66252">
        <w:rPr>
          <w:lang w:val="fr-FR" w:eastAsia="fr-FR"/>
        </w:rPr>
        <w:instrText xml:space="preserve"> REF JP9TER \h </w:instrText>
      </w:r>
      <w:r w:rsidR="00C93FE5" w:rsidRPr="00A66252">
        <w:rPr>
          <w:lang w:val="fr-FR" w:eastAsia="fr-FR"/>
        </w:rPr>
        <w:instrText xml:space="preserve"> \* MERGEFORMAT </w:instrText>
      </w:r>
      <w:r w:rsidR="00C579B0" w:rsidRPr="00A66252">
        <w:rPr>
          <w:lang w:val="fr-FR" w:eastAsia="fr-FR"/>
        </w:rPr>
      </w:r>
      <w:r w:rsidR="00C579B0" w:rsidRPr="00A66252">
        <w:rPr>
          <w:lang w:val="fr-FR" w:eastAsia="fr-FR"/>
        </w:rPr>
        <w:fldChar w:fldCharType="separate"/>
      </w:r>
      <w:r w:rsidR="00A66252" w:rsidRPr="00A66252">
        <w:rPr>
          <w:rFonts w:ascii="Times New Roman" w:hAnsi="Times New Roman" w:cs="Times New Roman"/>
          <w:noProof/>
          <w:lang w:val="fr-FR"/>
        </w:rPr>
        <w:t>101</w:t>
      </w:r>
      <w:r w:rsidR="00C579B0" w:rsidRPr="00A66252">
        <w:rPr>
          <w:lang w:val="fr-FR" w:eastAsia="fr-FR"/>
        </w:rPr>
        <w:fldChar w:fldCharType="end"/>
      </w:r>
      <w:r w:rsidR="001A3877" w:rsidRPr="00A66252">
        <w:rPr>
          <w:lang w:val="fr-FR" w:eastAsia="fr-FR"/>
        </w:rPr>
        <w:t xml:space="preserve"> </w:t>
      </w:r>
      <w:r w:rsidR="00C579B0" w:rsidRPr="00A66252">
        <w:rPr>
          <w:lang w:val="fr-FR" w:eastAsia="fr-FR"/>
        </w:rPr>
        <w:t>et s</w:t>
      </w:r>
      <w:r w:rsidR="00472AB3" w:rsidRPr="00A66252">
        <w:rPr>
          <w:lang w:val="fr-FR" w:eastAsia="fr-FR"/>
        </w:rPr>
        <w:t>uivants,</w:t>
      </w:r>
      <w:r w:rsidR="00C579B0" w:rsidRPr="00A66252">
        <w:rPr>
          <w:lang w:val="fr-FR" w:eastAsia="fr-FR"/>
        </w:rPr>
        <w:t xml:space="preserve"> </w:t>
      </w:r>
      <w:r w:rsidR="001A3877" w:rsidRPr="00A66252">
        <w:rPr>
          <w:lang w:val="fr-FR" w:eastAsia="fr-FR"/>
        </w:rPr>
        <w:t>ci-dessus).</w:t>
      </w:r>
    </w:p>
    <w:p w:rsidR="005969DF" w:rsidRPr="00A66252" w:rsidRDefault="005969DF" w:rsidP="00A66252">
      <w:pPr>
        <w:pStyle w:val="ECHRHeading3"/>
        <w:rPr>
          <w:lang w:val="fr-FR"/>
        </w:rPr>
      </w:pPr>
      <w:r w:rsidRPr="00A66252">
        <w:rPr>
          <w:lang w:val="fr-FR"/>
        </w:rPr>
        <w:t>2.  Le Gouvernement belge</w:t>
      </w:r>
    </w:p>
    <w:p w:rsidR="005969DF" w:rsidRPr="00A66252" w:rsidRDefault="00DF1A8E"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150</w:t>
      </w:r>
      <w:r w:rsidRPr="00A66252">
        <w:rPr>
          <w:lang w:val="fr-FR" w:eastAsia="fr-FR"/>
        </w:rPr>
        <w:fldChar w:fldCharType="end"/>
      </w:r>
      <w:r w:rsidRPr="00A66252">
        <w:rPr>
          <w:lang w:val="fr-FR" w:eastAsia="fr-FR"/>
        </w:rPr>
        <w:t>.  </w:t>
      </w:r>
      <w:r w:rsidR="005969DF" w:rsidRPr="00A66252">
        <w:rPr>
          <w:lang w:val="fr-FR" w:eastAsia="fr-FR"/>
        </w:rPr>
        <w:t xml:space="preserve">Le Gouvernement </w:t>
      </w:r>
      <w:r w:rsidR="007F1170" w:rsidRPr="00A66252">
        <w:rPr>
          <w:lang w:val="fr-FR" w:eastAsia="fr-FR"/>
        </w:rPr>
        <w:t>soutient</w:t>
      </w:r>
      <w:r w:rsidR="000A605A" w:rsidRPr="00A66252">
        <w:rPr>
          <w:lang w:val="fr-FR" w:eastAsia="fr-FR"/>
        </w:rPr>
        <w:t xml:space="preserve"> que si, selon la jurisprudence de la Cour, </w:t>
      </w:r>
      <w:r w:rsidR="005969DF" w:rsidRPr="00A66252">
        <w:rPr>
          <w:lang w:val="fr-FR" w:eastAsia="fr-FR"/>
        </w:rPr>
        <w:t xml:space="preserve">il </w:t>
      </w:r>
      <w:r w:rsidR="007F1170" w:rsidRPr="00A66252">
        <w:rPr>
          <w:lang w:val="fr-FR" w:eastAsia="fr-FR"/>
        </w:rPr>
        <w:t>est</w:t>
      </w:r>
      <w:r w:rsidR="00DD367C" w:rsidRPr="00A66252">
        <w:rPr>
          <w:lang w:val="fr-FR" w:eastAsia="fr-FR"/>
        </w:rPr>
        <w:t xml:space="preserve"> </w:t>
      </w:r>
      <w:r w:rsidR="005969DF" w:rsidRPr="00A66252">
        <w:rPr>
          <w:lang w:val="fr-FR" w:eastAsia="fr-FR"/>
        </w:rPr>
        <w:t>admis que la responsa</w:t>
      </w:r>
      <w:r w:rsidR="007770D9" w:rsidRPr="00A66252">
        <w:rPr>
          <w:lang w:val="fr-FR" w:eastAsia="fr-FR"/>
        </w:rPr>
        <w:t>bilité d</w:t>
      </w:r>
      <w:r w:rsidR="00A66252" w:rsidRPr="00A66252">
        <w:rPr>
          <w:lang w:val="fr-FR" w:eastAsia="fr-FR"/>
        </w:rPr>
        <w:t>’</w:t>
      </w:r>
      <w:r w:rsidR="007770D9" w:rsidRPr="00A66252">
        <w:rPr>
          <w:lang w:val="fr-FR" w:eastAsia="fr-FR"/>
        </w:rPr>
        <w:t>un É</w:t>
      </w:r>
      <w:r w:rsidR="005969DF" w:rsidRPr="00A66252">
        <w:rPr>
          <w:lang w:val="fr-FR" w:eastAsia="fr-FR"/>
        </w:rPr>
        <w:t>tat partie puisse être mise en cause sous l</w:t>
      </w:r>
      <w:r w:rsidR="00A66252" w:rsidRPr="00A66252">
        <w:rPr>
          <w:lang w:val="fr-FR" w:eastAsia="fr-FR"/>
        </w:rPr>
        <w:t>’</w:t>
      </w:r>
      <w:r w:rsidR="005969DF" w:rsidRPr="00A66252">
        <w:rPr>
          <w:lang w:val="fr-FR" w:eastAsia="fr-FR"/>
        </w:rPr>
        <w:t>angle de l</w:t>
      </w:r>
      <w:r w:rsidR="00A66252" w:rsidRPr="00A66252">
        <w:rPr>
          <w:lang w:val="fr-FR" w:eastAsia="fr-FR"/>
        </w:rPr>
        <w:t>’</w:t>
      </w:r>
      <w:r w:rsidR="005969DF" w:rsidRPr="00A66252">
        <w:rPr>
          <w:lang w:val="fr-FR" w:eastAsia="fr-FR"/>
        </w:rPr>
        <w:t>article 3 du fait de l</w:t>
      </w:r>
      <w:r w:rsidR="00A66252" w:rsidRPr="00A66252">
        <w:rPr>
          <w:lang w:val="fr-FR" w:eastAsia="fr-FR"/>
        </w:rPr>
        <w:t>’</w:t>
      </w:r>
      <w:r w:rsidR="005969DF" w:rsidRPr="00A66252">
        <w:rPr>
          <w:lang w:val="fr-FR" w:eastAsia="fr-FR"/>
        </w:rPr>
        <w:t>expulsion d</w:t>
      </w:r>
      <w:r w:rsidR="00A66252" w:rsidRPr="00A66252">
        <w:rPr>
          <w:lang w:val="fr-FR" w:eastAsia="fr-FR"/>
        </w:rPr>
        <w:t>’</w:t>
      </w:r>
      <w:r w:rsidR="005969DF" w:rsidRPr="00A66252">
        <w:rPr>
          <w:lang w:val="fr-FR" w:eastAsia="fr-FR"/>
        </w:rPr>
        <w:t xml:space="preserve">un étranger et de son exposition à un risque de violation de ses droits économiques et sociaux, encore </w:t>
      </w:r>
      <w:r w:rsidR="007F1170" w:rsidRPr="00A66252">
        <w:rPr>
          <w:lang w:val="fr-FR" w:eastAsia="fr-FR"/>
        </w:rPr>
        <w:t>faut</w:t>
      </w:r>
      <w:r w:rsidR="005969DF" w:rsidRPr="00A66252">
        <w:rPr>
          <w:lang w:val="fr-FR" w:eastAsia="fr-FR"/>
        </w:rPr>
        <w:t>-il tenir compte que dans le cas d</w:t>
      </w:r>
      <w:r w:rsidR="00A66252" w:rsidRPr="00A66252">
        <w:rPr>
          <w:lang w:val="fr-FR" w:eastAsia="fr-FR"/>
        </w:rPr>
        <w:t>’</w:t>
      </w:r>
      <w:r w:rsidR="005969DF" w:rsidRPr="00A66252">
        <w:rPr>
          <w:lang w:val="fr-FR" w:eastAsia="fr-FR"/>
        </w:rPr>
        <w:t>une maladie</w:t>
      </w:r>
      <w:r w:rsidR="007770D9" w:rsidRPr="00A66252">
        <w:rPr>
          <w:lang w:val="fr-FR" w:eastAsia="fr-FR"/>
        </w:rPr>
        <w:t>, ni l</w:t>
      </w:r>
      <w:r w:rsidR="00A66252" w:rsidRPr="00A66252">
        <w:rPr>
          <w:lang w:val="fr-FR" w:eastAsia="fr-FR"/>
        </w:rPr>
        <w:t>’</w:t>
      </w:r>
      <w:r w:rsidR="007770D9" w:rsidRPr="00A66252">
        <w:rPr>
          <w:lang w:val="fr-FR" w:eastAsia="fr-FR"/>
        </w:rPr>
        <w:t>É</w:t>
      </w:r>
      <w:r w:rsidR="005969DF" w:rsidRPr="00A66252">
        <w:rPr>
          <w:lang w:val="fr-FR" w:eastAsia="fr-FR"/>
        </w:rPr>
        <w:t xml:space="preserve">tat </w:t>
      </w:r>
      <w:r w:rsidR="0023636B" w:rsidRPr="00A66252">
        <w:rPr>
          <w:lang w:val="fr-FR" w:eastAsia="fr-FR"/>
        </w:rPr>
        <w:t>de renvoi</w:t>
      </w:r>
      <w:r w:rsidR="005969DF" w:rsidRPr="00A66252">
        <w:rPr>
          <w:lang w:val="fr-FR" w:eastAsia="fr-FR"/>
        </w:rPr>
        <w:t xml:space="preserve"> ni l</w:t>
      </w:r>
      <w:r w:rsidR="00A66252" w:rsidRPr="00A66252">
        <w:rPr>
          <w:lang w:val="fr-FR" w:eastAsia="fr-FR"/>
        </w:rPr>
        <w:t>’</w:t>
      </w:r>
      <w:r w:rsidR="00C22A95" w:rsidRPr="00A66252">
        <w:rPr>
          <w:lang w:val="fr-FR" w:eastAsia="fr-FR"/>
        </w:rPr>
        <w:t>É</w:t>
      </w:r>
      <w:r w:rsidR="005969DF" w:rsidRPr="00A66252">
        <w:rPr>
          <w:lang w:val="fr-FR" w:eastAsia="fr-FR"/>
        </w:rPr>
        <w:t xml:space="preserve">tat de destination ne </w:t>
      </w:r>
      <w:r w:rsidR="00DD367C" w:rsidRPr="00A66252">
        <w:rPr>
          <w:lang w:val="fr-FR" w:eastAsia="fr-FR"/>
        </w:rPr>
        <w:t>p</w:t>
      </w:r>
      <w:r w:rsidR="007F1170" w:rsidRPr="00A66252">
        <w:rPr>
          <w:lang w:val="fr-FR" w:eastAsia="fr-FR"/>
        </w:rPr>
        <w:t xml:space="preserve">euvent </w:t>
      </w:r>
      <w:r w:rsidR="005969DF" w:rsidRPr="00A66252">
        <w:rPr>
          <w:lang w:val="fr-FR" w:eastAsia="fr-FR"/>
        </w:rPr>
        <w:t>être jugés directement responsables de la carence du système des soins de santé et de ses répercussions sur l</w:t>
      </w:r>
      <w:r w:rsidR="00A66252" w:rsidRPr="00A66252">
        <w:rPr>
          <w:lang w:val="fr-FR" w:eastAsia="fr-FR"/>
        </w:rPr>
        <w:t>’</w:t>
      </w:r>
      <w:r w:rsidR="005969DF" w:rsidRPr="00A66252">
        <w:rPr>
          <w:lang w:val="fr-FR" w:eastAsia="fr-FR"/>
        </w:rPr>
        <w:t>état de santé de la personne malade. La jurisprudence montre que, pour atteindre dans ce cas le seuil de gravité requis par l</w:t>
      </w:r>
      <w:r w:rsidR="00A66252" w:rsidRPr="00A66252">
        <w:rPr>
          <w:lang w:val="fr-FR" w:eastAsia="fr-FR"/>
        </w:rPr>
        <w:t>’</w:t>
      </w:r>
      <w:r w:rsidR="005969DF" w:rsidRPr="00A66252">
        <w:rPr>
          <w:lang w:val="fr-FR" w:eastAsia="fr-FR"/>
        </w:rPr>
        <w:t>article 3, il faut établir le caractère extrême des conditions de vie ou la vulnérabilité extrême de l</w:t>
      </w:r>
      <w:r w:rsidR="00A66252" w:rsidRPr="00A66252">
        <w:rPr>
          <w:lang w:val="fr-FR" w:eastAsia="fr-FR"/>
        </w:rPr>
        <w:t>’</w:t>
      </w:r>
      <w:r w:rsidR="005969DF" w:rsidRPr="00A66252">
        <w:rPr>
          <w:lang w:val="fr-FR" w:eastAsia="fr-FR"/>
        </w:rPr>
        <w:t>intéressé. Les circonstances contraires à la dignité humaine doivent être à ce point exceptionnelles que l</w:t>
      </w:r>
      <w:r w:rsidR="00A66252" w:rsidRPr="00A66252">
        <w:rPr>
          <w:lang w:val="fr-FR" w:eastAsia="fr-FR"/>
        </w:rPr>
        <w:t>’</w:t>
      </w:r>
      <w:r w:rsidR="005969DF" w:rsidRPr="00A66252">
        <w:rPr>
          <w:lang w:val="fr-FR" w:eastAsia="fr-FR"/>
        </w:rPr>
        <w:t>intéressé, du fait de l</w:t>
      </w:r>
      <w:r w:rsidR="00A66252" w:rsidRPr="00A66252">
        <w:rPr>
          <w:lang w:val="fr-FR" w:eastAsia="fr-FR"/>
        </w:rPr>
        <w:t>’</w:t>
      </w:r>
      <w:r w:rsidR="005969DF" w:rsidRPr="00A66252">
        <w:rPr>
          <w:lang w:val="fr-FR" w:eastAsia="fr-FR"/>
        </w:rPr>
        <w:t xml:space="preserve">état critique dans lequel il se </w:t>
      </w:r>
      <w:r w:rsidR="005969DF" w:rsidRPr="00A66252">
        <w:rPr>
          <w:lang w:val="fr-FR" w:eastAsia="fr-FR"/>
        </w:rPr>
        <w:lastRenderedPageBreak/>
        <w:t>trouve avant son éloignement, serait nécessairement plongé dans une situation d</w:t>
      </w:r>
      <w:r w:rsidR="00A66252" w:rsidRPr="00A66252">
        <w:rPr>
          <w:lang w:val="fr-FR" w:eastAsia="fr-FR"/>
        </w:rPr>
        <w:t>’</w:t>
      </w:r>
      <w:r w:rsidR="005969DF" w:rsidRPr="00A66252">
        <w:rPr>
          <w:lang w:val="fr-FR" w:eastAsia="fr-FR"/>
        </w:rPr>
        <w:t>intense souffrance par le seul fait de la procédure d</w:t>
      </w:r>
      <w:r w:rsidR="00A66252" w:rsidRPr="00A66252">
        <w:rPr>
          <w:lang w:val="fr-FR" w:eastAsia="fr-FR"/>
        </w:rPr>
        <w:t>’</w:t>
      </w:r>
      <w:r w:rsidR="005969DF" w:rsidRPr="00A66252">
        <w:rPr>
          <w:lang w:val="fr-FR" w:eastAsia="fr-FR"/>
        </w:rPr>
        <w:t>éloignement et de l</w:t>
      </w:r>
      <w:r w:rsidR="00A66252" w:rsidRPr="00A66252">
        <w:rPr>
          <w:lang w:val="fr-FR" w:eastAsia="fr-FR"/>
        </w:rPr>
        <w:t>’</w:t>
      </w:r>
      <w:r w:rsidR="005969DF" w:rsidRPr="00A66252">
        <w:rPr>
          <w:lang w:val="fr-FR" w:eastAsia="fr-FR"/>
        </w:rPr>
        <w:t>absence totale des soins et de traitement dans le pays de destination. Les droits de l</w:t>
      </w:r>
      <w:r w:rsidR="00A66252" w:rsidRPr="00A66252">
        <w:rPr>
          <w:lang w:val="fr-FR" w:eastAsia="fr-FR"/>
        </w:rPr>
        <w:t>’</w:t>
      </w:r>
      <w:r w:rsidR="005969DF" w:rsidRPr="00A66252">
        <w:rPr>
          <w:lang w:val="fr-FR" w:eastAsia="fr-FR"/>
        </w:rPr>
        <w:t>homme ne sont en effet pas synonymes d</w:t>
      </w:r>
      <w:r w:rsidR="00A66252" w:rsidRPr="00A66252">
        <w:rPr>
          <w:lang w:val="fr-FR" w:eastAsia="fr-FR"/>
        </w:rPr>
        <w:t>’</w:t>
      </w:r>
      <w:r w:rsidR="005969DF" w:rsidRPr="00A66252">
        <w:rPr>
          <w:lang w:val="fr-FR" w:eastAsia="fr-FR"/>
        </w:rPr>
        <w:t>impératif humanitaire et il ne saurait être déduit de l</w:t>
      </w:r>
      <w:r w:rsidR="00A66252" w:rsidRPr="00A66252">
        <w:rPr>
          <w:lang w:val="fr-FR" w:eastAsia="fr-FR"/>
        </w:rPr>
        <w:t>’</w:t>
      </w:r>
      <w:r w:rsidR="005969DF" w:rsidRPr="00A66252">
        <w:rPr>
          <w:lang w:val="fr-FR" w:eastAsia="fr-FR"/>
        </w:rPr>
        <w:t>article 3 une obligation générale de protection sociale fût-ce au nom de la dignité humaine.</w:t>
      </w:r>
    </w:p>
    <w:p w:rsidR="005969DF" w:rsidRPr="00A66252" w:rsidRDefault="005969D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151</w:t>
      </w:r>
      <w:r w:rsidRPr="00A66252">
        <w:rPr>
          <w:lang w:val="fr-FR" w:eastAsia="fr-FR"/>
        </w:rPr>
        <w:fldChar w:fldCharType="end"/>
      </w:r>
      <w:r w:rsidRPr="00A66252">
        <w:rPr>
          <w:lang w:val="fr-FR" w:eastAsia="fr-FR"/>
        </w:rPr>
        <w:t>.  Compte tenu de cette jurisprudence, il y a lieu de considérer en l</w:t>
      </w:r>
      <w:r w:rsidR="00A66252" w:rsidRPr="00A66252">
        <w:rPr>
          <w:lang w:val="fr-FR" w:eastAsia="fr-FR"/>
        </w:rPr>
        <w:t>’</w:t>
      </w:r>
      <w:r w:rsidRPr="00A66252">
        <w:rPr>
          <w:lang w:val="fr-FR" w:eastAsia="fr-FR"/>
        </w:rPr>
        <w:t xml:space="preserve">espèce que les conditions </w:t>
      </w:r>
      <w:r w:rsidR="0095339B" w:rsidRPr="00A66252">
        <w:rPr>
          <w:lang w:val="fr-FR" w:eastAsia="fr-FR"/>
        </w:rPr>
        <w:t>n</w:t>
      </w:r>
      <w:r w:rsidR="00A66252" w:rsidRPr="00A66252">
        <w:rPr>
          <w:lang w:val="fr-FR" w:eastAsia="fr-FR"/>
        </w:rPr>
        <w:t>’</w:t>
      </w:r>
      <w:r w:rsidR="0095339B" w:rsidRPr="00A66252">
        <w:rPr>
          <w:lang w:val="fr-FR" w:eastAsia="fr-FR"/>
        </w:rPr>
        <w:t>étaient</w:t>
      </w:r>
      <w:r w:rsidRPr="00A66252">
        <w:rPr>
          <w:lang w:val="fr-FR" w:eastAsia="fr-FR"/>
        </w:rPr>
        <w:t xml:space="preserve"> pas réunies pour </w:t>
      </w:r>
      <w:r w:rsidR="007770D9" w:rsidRPr="00A66252">
        <w:rPr>
          <w:lang w:val="fr-FR" w:eastAsia="fr-FR"/>
        </w:rPr>
        <w:t>engager la responsabilité de l</w:t>
      </w:r>
      <w:r w:rsidR="00A66252" w:rsidRPr="00A66252">
        <w:rPr>
          <w:lang w:val="fr-FR" w:eastAsia="fr-FR"/>
        </w:rPr>
        <w:t>’</w:t>
      </w:r>
      <w:r w:rsidR="007770D9" w:rsidRPr="00A66252">
        <w:rPr>
          <w:lang w:val="fr-FR" w:eastAsia="fr-FR"/>
        </w:rPr>
        <w:t>É</w:t>
      </w:r>
      <w:r w:rsidR="00217D06" w:rsidRPr="00A66252">
        <w:rPr>
          <w:lang w:val="fr-FR" w:eastAsia="fr-FR"/>
        </w:rPr>
        <w:t>tat belge.</w:t>
      </w:r>
    </w:p>
    <w:p w:rsidR="005969DF" w:rsidRPr="00A66252" w:rsidRDefault="005969D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152</w:t>
      </w:r>
      <w:r w:rsidRPr="00A66252">
        <w:rPr>
          <w:lang w:val="fr-FR" w:eastAsia="fr-FR"/>
        </w:rPr>
        <w:fldChar w:fldCharType="end"/>
      </w:r>
      <w:r w:rsidRPr="00A66252">
        <w:rPr>
          <w:lang w:val="fr-FR" w:eastAsia="fr-FR"/>
        </w:rPr>
        <w:t>.  S</w:t>
      </w:r>
      <w:r w:rsidR="00A66252" w:rsidRPr="00A66252">
        <w:rPr>
          <w:lang w:val="fr-FR" w:eastAsia="fr-FR"/>
        </w:rPr>
        <w:t>’</w:t>
      </w:r>
      <w:r w:rsidRPr="00A66252">
        <w:rPr>
          <w:lang w:val="fr-FR" w:eastAsia="fr-FR"/>
        </w:rPr>
        <w:t xml:space="preserve">agissant </w:t>
      </w:r>
      <w:r w:rsidR="00515AFD" w:rsidRPr="00A66252">
        <w:rPr>
          <w:lang w:val="fr-FR" w:eastAsia="fr-FR"/>
        </w:rPr>
        <w:t>tout d</w:t>
      </w:r>
      <w:r w:rsidR="00A66252" w:rsidRPr="00A66252">
        <w:rPr>
          <w:lang w:val="fr-FR" w:eastAsia="fr-FR"/>
        </w:rPr>
        <w:t>’</w:t>
      </w:r>
      <w:r w:rsidR="00515AFD" w:rsidRPr="00A66252">
        <w:rPr>
          <w:lang w:val="fr-FR" w:eastAsia="fr-FR"/>
        </w:rPr>
        <w:t xml:space="preserve">abord </w:t>
      </w:r>
      <w:r w:rsidRPr="00A66252">
        <w:rPr>
          <w:lang w:val="fr-FR" w:eastAsia="fr-FR"/>
        </w:rPr>
        <w:t xml:space="preserve">de </w:t>
      </w:r>
      <w:r w:rsidR="0095339B" w:rsidRPr="00A66252">
        <w:rPr>
          <w:lang w:val="fr-FR" w:eastAsia="fr-FR"/>
        </w:rPr>
        <w:t>l</w:t>
      </w:r>
      <w:r w:rsidR="00A66252" w:rsidRPr="00A66252">
        <w:rPr>
          <w:lang w:val="fr-FR" w:eastAsia="fr-FR"/>
        </w:rPr>
        <w:t>’</w:t>
      </w:r>
      <w:r w:rsidR="0095339B" w:rsidRPr="00A66252">
        <w:rPr>
          <w:lang w:val="fr-FR" w:eastAsia="fr-FR"/>
        </w:rPr>
        <w:t xml:space="preserve">évolution de </w:t>
      </w:r>
      <w:r w:rsidRPr="00A66252">
        <w:rPr>
          <w:lang w:val="fr-FR" w:eastAsia="fr-FR"/>
        </w:rPr>
        <w:t>l</w:t>
      </w:r>
      <w:r w:rsidR="00A66252" w:rsidRPr="00A66252">
        <w:rPr>
          <w:lang w:val="fr-FR" w:eastAsia="fr-FR"/>
        </w:rPr>
        <w:t>’</w:t>
      </w:r>
      <w:r w:rsidRPr="00A66252">
        <w:rPr>
          <w:lang w:val="fr-FR" w:eastAsia="fr-FR"/>
        </w:rPr>
        <w:t xml:space="preserve">état de santé du requérant, le Gouvernement </w:t>
      </w:r>
      <w:r w:rsidR="0095339B" w:rsidRPr="00A66252">
        <w:rPr>
          <w:lang w:val="fr-FR" w:eastAsia="fr-FR"/>
        </w:rPr>
        <w:t xml:space="preserve">fait </w:t>
      </w:r>
      <w:r w:rsidRPr="00A66252">
        <w:rPr>
          <w:lang w:val="fr-FR" w:eastAsia="fr-FR"/>
        </w:rPr>
        <w:t>valoir que, s</w:t>
      </w:r>
      <w:r w:rsidR="00A66252" w:rsidRPr="00A66252">
        <w:rPr>
          <w:lang w:val="fr-FR" w:eastAsia="fr-FR"/>
        </w:rPr>
        <w:t>’</w:t>
      </w:r>
      <w:r w:rsidRPr="00A66252">
        <w:rPr>
          <w:lang w:val="fr-FR" w:eastAsia="fr-FR"/>
        </w:rPr>
        <w:t xml:space="preserve">il </w:t>
      </w:r>
      <w:r w:rsidR="0095339B" w:rsidRPr="00A66252">
        <w:rPr>
          <w:lang w:val="fr-FR" w:eastAsia="fr-FR"/>
        </w:rPr>
        <w:t>s</w:t>
      </w:r>
      <w:r w:rsidR="00A66252" w:rsidRPr="00A66252">
        <w:rPr>
          <w:lang w:val="fr-FR" w:eastAsia="fr-FR"/>
        </w:rPr>
        <w:t>’</w:t>
      </w:r>
      <w:r w:rsidR="0095339B" w:rsidRPr="00A66252">
        <w:rPr>
          <w:lang w:val="fr-FR" w:eastAsia="fr-FR"/>
        </w:rPr>
        <w:t xml:space="preserve">était </w:t>
      </w:r>
      <w:r w:rsidRPr="00A66252">
        <w:rPr>
          <w:lang w:val="fr-FR" w:eastAsia="fr-FR"/>
        </w:rPr>
        <w:t>globalement aggravé depuis l</w:t>
      </w:r>
      <w:r w:rsidR="00A66252" w:rsidRPr="00A66252">
        <w:rPr>
          <w:lang w:val="fr-FR" w:eastAsia="fr-FR"/>
        </w:rPr>
        <w:t>’</w:t>
      </w:r>
      <w:r w:rsidRPr="00A66252">
        <w:rPr>
          <w:lang w:val="fr-FR" w:eastAsia="fr-FR"/>
        </w:rPr>
        <w:t>arrêt de chambre principalement du fait des affections collatérales et si son pronostic vital demeur</w:t>
      </w:r>
      <w:r w:rsidR="0095339B" w:rsidRPr="00A66252">
        <w:rPr>
          <w:lang w:val="fr-FR" w:eastAsia="fr-FR"/>
        </w:rPr>
        <w:t>ait</w:t>
      </w:r>
      <w:r w:rsidRPr="00A66252">
        <w:rPr>
          <w:lang w:val="fr-FR" w:eastAsia="fr-FR"/>
        </w:rPr>
        <w:t xml:space="preserve"> engagé, les pathologies dont souffr</w:t>
      </w:r>
      <w:r w:rsidR="0095339B" w:rsidRPr="00A66252">
        <w:rPr>
          <w:lang w:val="fr-FR" w:eastAsia="fr-FR"/>
        </w:rPr>
        <w:t>ait</w:t>
      </w:r>
      <w:r w:rsidRPr="00A66252">
        <w:rPr>
          <w:lang w:val="fr-FR" w:eastAsia="fr-FR"/>
        </w:rPr>
        <w:t xml:space="preserve"> le requérant </w:t>
      </w:r>
      <w:r w:rsidR="007F1170" w:rsidRPr="00A66252">
        <w:rPr>
          <w:lang w:val="fr-FR" w:eastAsia="fr-FR"/>
        </w:rPr>
        <w:t>étaient</w:t>
      </w:r>
      <w:r w:rsidR="0095339B" w:rsidRPr="00A66252">
        <w:rPr>
          <w:lang w:val="fr-FR" w:eastAsia="fr-FR"/>
        </w:rPr>
        <w:t xml:space="preserve"> longtemps restées </w:t>
      </w:r>
      <w:r w:rsidRPr="00A66252">
        <w:rPr>
          <w:lang w:val="fr-FR" w:eastAsia="fr-FR"/>
        </w:rPr>
        <w:t>sous contrôle grâce à l</w:t>
      </w:r>
      <w:r w:rsidR="00A66252" w:rsidRPr="00A66252">
        <w:rPr>
          <w:lang w:val="fr-FR" w:eastAsia="fr-FR"/>
        </w:rPr>
        <w:t>’</w:t>
      </w:r>
      <w:r w:rsidRPr="00A66252">
        <w:rPr>
          <w:lang w:val="fr-FR" w:eastAsia="fr-FR"/>
        </w:rPr>
        <w:t>administration des médicaments qu</w:t>
      </w:r>
      <w:r w:rsidR="00A66252" w:rsidRPr="00A66252">
        <w:rPr>
          <w:lang w:val="fr-FR" w:eastAsia="fr-FR"/>
        </w:rPr>
        <w:t>’</w:t>
      </w:r>
      <w:r w:rsidRPr="00A66252">
        <w:rPr>
          <w:lang w:val="fr-FR" w:eastAsia="fr-FR"/>
        </w:rPr>
        <w:t xml:space="preserve">il </w:t>
      </w:r>
      <w:r w:rsidR="0095339B" w:rsidRPr="00A66252">
        <w:rPr>
          <w:lang w:val="fr-FR" w:eastAsia="fr-FR"/>
        </w:rPr>
        <w:t xml:space="preserve">recevait </w:t>
      </w:r>
      <w:r w:rsidRPr="00A66252">
        <w:rPr>
          <w:lang w:val="fr-FR" w:eastAsia="fr-FR"/>
        </w:rPr>
        <w:t>en Belgique. Selon le rapport du fonctionnaire médecin de l</w:t>
      </w:r>
      <w:r w:rsidR="00A66252" w:rsidRPr="00A66252">
        <w:rPr>
          <w:lang w:val="fr-FR" w:eastAsia="fr-FR"/>
        </w:rPr>
        <w:t>’</w:t>
      </w:r>
      <w:r w:rsidRPr="00A66252">
        <w:rPr>
          <w:lang w:val="fr-FR" w:eastAsia="fr-FR"/>
        </w:rPr>
        <w:t>OE établi le 23 juin 2015, l</w:t>
      </w:r>
      <w:r w:rsidR="00A66252" w:rsidRPr="00A66252">
        <w:rPr>
          <w:lang w:val="fr-FR" w:eastAsia="fr-FR"/>
        </w:rPr>
        <w:t>’</w:t>
      </w:r>
      <w:r w:rsidRPr="00A66252">
        <w:rPr>
          <w:lang w:val="fr-FR" w:eastAsia="fr-FR"/>
        </w:rPr>
        <w:t xml:space="preserve">état du requérant ne </w:t>
      </w:r>
      <w:r w:rsidR="0095339B" w:rsidRPr="00A66252">
        <w:rPr>
          <w:lang w:val="fr-FR" w:eastAsia="fr-FR"/>
        </w:rPr>
        <w:t xml:space="preserve">pouvait </w:t>
      </w:r>
      <w:r w:rsidRPr="00A66252">
        <w:rPr>
          <w:lang w:val="fr-FR" w:eastAsia="fr-FR"/>
        </w:rPr>
        <w:t xml:space="preserve">être considéré comme critique, il </w:t>
      </w:r>
      <w:r w:rsidR="0095339B" w:rsidRPr="00A66252">
        <w:rPr>
          <w:lang w:val="fr-FR" w:eastAsia="fr-FR"/>
        </w:rPr>
        <w:t xml:space="preserve">était </w:t>
      </w:r>
      <w:r w:rsidRPr="00A66252">
        <w:rPr>
          <w:lang w:val="fr-FR" w:eastAsia="fr-FR"/>
        </w:rPr>
        <w:t xml:space="preserve">apte à voyager, il </w:t>
      </w:r>
      <w:r w:rsidR="0095339B" w:rsidRPr="00A66252">
        <w:rPr>
          <w:lang w:val="fr-FR" w:eastAsia="fr-FR"/>
        </w:rPr>
        <w:t>n</w:t>
      </w:r>
      <w:r w:rsidR="00A66252" w:rsidRPr="00A66252">
        <w:rPr>
          <w:lang w:val="fr-FR" w:eastAsia="fr-FR"/>
        </w:rPr>
        <w:t>’</w:t>
      </w:r>
      <w:r w:rsidR="0095339B" w:rsidRPr="00A66252">
        <w:rPr>
          <w:lang w:val="fr-FR" w:eastAsia="fr-FR"/>
        </w:rPr>
        <w:t xml:space="preserve">était </w:t>
      </w:r>
      <w:r w:rsidRPr="00A66252">
        <w:rPr>
          <w:lang w:val="fr-FR" w:eastAsia="fr-FR"/>
        </w:rPr>
        <w:t>l</w:t>
      </w:r>
      <w:r w:rsidR="00A66252" w:rsidRPr="00A66252">
        <w:rPr>
          <w:lang w:val="fr-FR" w:eastAsia="fr-FR"/>
        </w:rPr>
        <w:t>’</w:t>
      </w:r>
      <w:r w:rsidRPr="00A66252">
        <w:rPr>
          <w:lang w:val="fr-FR" w:eastAsia="fr-FR"/>
        </w:rPr>
        <w:t>objet, du fait de ses affections, d</w:t>
      </w:r>
      <w:r w:rsidR="00A66252" w:rsidRPr="00A66252">
        <w:rPr>
          <w:lang w:val="fr-FR" w:eastAsia="fr-FR"/>
        </w:rPr>
        <w:t>’</w:t>
      </w:r>
      <w:r w:rsidRPr="00A66252">
        <w:rPr>
          <w:lang w:val="fr-FR" w:eastAsia="fr-FR"/>
        </w:rPr>
        <w:t xml:space="preserve">aucune menace vitale directe et aucun organe vital </w:t>
      </w:r>
      <w:r w:rsidR="0095339B" w:rsidRPr="00A66252">
        <w:rPr>
          <w:lang w:val="fr-FR" w:eastAsia="fr-FR"/>
        </w:rPr>
        <w:t>n</w:t>
      </w:r>
      <w:r w:rsidR="00A66252" w:rsidRPr="00A66252">
        <w:rPr>
          <w:lang w:val="fr-FR" w:eastAsia="fr-FR"/>
        </w:rPr>
        <w:t>’</w:t>
      </w:r>
      <w:r w:rsidR="0095339B" w:rsidRPr="00A66252">
        <w:rPr>
          <w:lang w:val="fr-FR" w:eastAsia="fr-FR"/>
        </w:rPr>
        <w:t xml:space="preserve">était </w:t>
      </w:r>
      <w:r w:rsidRPr="00A66252">
        <w:rPr>
          <w:lang w:val="fr-FR" w:eastAsia="fr-FR"/>
        </w:rPr>
        <w:t xml:space="preserve">dans un état tel que le pronostic vital </w:t>
      </w:r>
      <w:r w:rsidR="0095339B" w:rsidRPr="00A66252">
        <w:rPr>
          <w:lang w:val="fr-FR" w:eastAsia="fr-FR"/>
        </w:rPr>
        <w:t xml:space="preserve">aurait été </w:t>
      </w:r>
      <w:r w:rsidRPr="00A66252">
        <w:rPr>
          <w:lang w:val="fr-FR" w:eastAsia="fr-FR"/>
        </w:rPr>
        <w:t>mis en péril dans l</w:t>
      </w:r>
      <w:r w:rsidR="00A66252" w:rsidRPr="00A66252">
        <w:rPr>
          <w:lang w:val="fr-FR" w:eastAsia="fr-FR"/>
        </w:rPr>
        <w:t>’</w:t>
      </w:r>
      <w:r w:rsidR="006A1051" w:rsidRPr="00A66252">
        <w:rPr>
          <w:lang w:val="fr-FR" w:eastAsia="fr-FR"/>
        </w:rPr>
        <w:t>immédiat.</w:t>
      </w:r>
    </w:p>
    <w:bookmarkStart w:id="33" w:name="OBSGOUVLLC"/>
    <w:p w:rsidR="00FD046F" w:rsidRPr="00A66252" w:rsidRDefault="00E2591C"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153</w:t>
      </w:r>
      <w:r w:rsidRPr="00A66252">
        <w:rPr>
          <w:lang w:val="fr-FR" w:eastAsia="fr-FR"/>
        </w:rPr>
        <w:fldChar w:fldCharType="end"/>
      </w:r>
      <w:bookmarkEnd w:id="33"/>
      <w:r w:rsidRPr="00A66252">
        <w:rPr>
          <w:lang w:val="fr-FR" w:eastAsia="fr-FR"/>
        </w:rPr>
        <w:t>. </w:t>
      </w:r>
      <w:r w:rsidR="006A1051" w:rsidRPr="00A66252">
        <w:rPr>
          <w:lang w:val="fr-FR" w:eastAsia="fr-FR"/>
        </w:rPr>
        <w:t> </w:t>
      </w:r>
      <w:r w:rsidR="00FD046F" w:rsidRPr="00A66252">
        <w:rPr>
          <w:lang w:val="fr-FR" w:eastAsia="fr-FR"/>
        </w:rPr>
        <w:t>De plus, à</w:t>
      </w:r>
      <w:r w:rsidR="00DE712E" w:rsidRPr="00A66252">
        <w:rPr>
          <w:lang w:val="fr-FR" w:eastAsia="fr-FR"/>
        </w:rPr>
        <w:t xml:space="preserve"> défaut </w:t>
      </w:r>
      <w:r w:rsidR="00BC0444" w:rsidRPr="00A66252">
        <w:rPr>
          <w:lang w:val="fr-FR" w:eastAsia="fr-FR"/>
        </w:rPr>
        <w:t>pour le requérant d</w:t>
      </w:r>
      <w:r w:rsidR="00A66252" w:rsidRPr="00A66252">
        <w:rPr>
          <w:lang w:val="fr-FR" w:eastAsia="fr-FR"/>
        </w:rPr>
        <w:t>’</w:t>
      </w:r>
      <w:r w:rsidR="00BC0444" w:rsidRPr="00A66252">
        <w:rPr>
          <w:lang w:val="fr-FR" w:eastAsia="fr-FR"/>
        </w:rPr>
        <w:t xml:space="preserve">avoir fourni des </w:t>
      </w:r>
      <w:r w:rsidR="00DE712E" w:rsidRPr="00A66252">
        <w:rPr>
          <w:lang w:val="fr-FR" w:eastAsia="fr-FR"/>
        </w:rPr>
        <w:t>informations plus précises sur le contenu du programme d</w:t>
      </w:r>
      <w:r w:rsidR="00A66252" w:rsidRPr="00A66252">
        <w:rPr>
          <w:lang w:val="fr-FR" w:eastAsia="fr-FR"/>
        </w:rPr>
        <w:t>’</w:t>
      </w:r>
      <w:r w:rsidR="00BC0444" w:rsidRPr="00A66252">
        <w:rPr>
          <w:lang w:val="fr-FR" w:eastAsia="fr-FR"/>
        </w:rPr>
        <w:t xml:space="preserve">étude dans lequel </w:t>
      </w:r>
      <w:r w:rsidR="00301351" w:rsidRPr="00A66252">
        <w:rPr>
          <w:lang w:val="fr-FR" w:eastAsia="fr-FR"/>
        </w:rPr>
        <w:t xml:space="preserve">sa leucémie </w:t>
      </w:r>
      <w:r w:rsidR="009C42E3" w:rsidRPr="00A66252">
        <w:rPr>
          <w:lang w:val="fr-FR" w:eastAsia="fr-FR"/>
        </w:rPr>
        <w:t xml:space="preserve">était </w:t>
      </w:r>
      <w:r w:rsidR="00301351" w:rsidRPr="00A66252">
        <w:rPr>
          <w:lang w:val="fr-FR" w:eastAsia="fr-FR"/>
        </w:rPr>
        <w:t>traitée</w:t>
      </w:r>
      <w:r w:rsidR="00DE712E" w:rsidRPr="00A66252">
        <w:rPr>
          <w:lang w:val="fr-FR" w:eastAsia="fr-FR"/>
        </w:rPr>
        <w:t xml:space="preserve">, </w:t>
      </w:r>
      <w:r w:rsidR="00BC0444" w:rsidRPr="00A66252">
        <w:rPr>
          <w:lang w:val="fr-FR" w:eastAsia="fr-FR"/>
        </w:rPr>
        <w:t xml:space="preserve">il y </w:t>
      </w:r>
      <w:r w:rsidR="007F1170" w:rsidRPr="00A66252">
        <w:rPr>
          <w:lang w:val="fr-FR" w:eastAsia="fr-FR"/>
        </w:rPr>
        <w:t xml:space="preserve">a </w:t>
      </w:r>
      <w:r w:rsidR="00BC0444" w:rsidRPr="00A66252">
        <w:rPr>
          <w:lang w:val="fr-FR" w:eastAsia="fr-FR"/>
        </w:rPr>
        <w:t xml:space="preserve">lieu de considérer que </w:t>
      </w:r>
      <w:r w:rsidR="00DE712E" w:rsidRPr="00A66252">
        <w:rPr>
          <w:lang w:val="fr-FR" w:eastAsia="fr-FR"/>
        </w:rPr>
        <w:t>l</w:t>
      </w:r>
      <w:r w:rsidR="00A66252" w:rsidRPr="00A66252">
        <w:rPr>
          <w:lang w:val="fr-FR" w:eastAsia="fr-FR"/>
        </w:rPr>
        <w:t>’</w:t>
      </w:r>
      <w:r w:rsidR="00F95B3C" w:rsidRPr="00A66252">
        <w:rPr>
          <w:lang w:val="fr-FR" w:eastAsia="fr-FR"/>
        </w:rPr>
        <w:t xml:space="preserve">affirmation par </w:t>
      </w:r>
      <w:r w:rsidR="00DE712E" w:rsidRPr="00A66252">
        <w:rPr>
          <w:lang w:val="fr-FR" w:eastAsia="fr-FR"/>
        </w:rPr>
        <w:t>son</w:t>
      </w:r>
      <w:r w:rsidR="00F95B3C" w:rsidRPr="00A66252">
        <w:rPr>
          <w:lang w:val="fr-FR" w:eastAsia="fr-FR"/>
        </w:rPr>
        <w:t xml:space="preserve"> médecin traitant </w:t>
      </w:r>
      <w:r w:rsidR="008D53D0" w:rsidRPr="00A66252">
        <w:rPr>
          <w:lang w:val="fr-FR" w:eastAsia="fr-FR"/>
        </w:rPr>
        <w:t xml:space="preserve">selon laquelle </w:t>
      </w:r>
      <w:r w:rsidR="00F95B3C" w:rsidRPr="00A66252">
        <w:rPr>
          <w:lang w:val="fr-FR" w:eastAsia="fr-FR"/>
        </w:rPr>
        <w:t xml:space="preserve">la seule option </w:t>
      </w:r>
      <w:r w:rsidR="0095339B" w:rsidRPr="00A66252">
        <w:rPr>
          <w:lang w:val="fr-FR" w:eastAsia="fr-FR"/>
        </w:rPr>
        <w:t>aurait été</w:t>
      </w:r>
      <w:r w:rsidR="00F95B3C" w:rsidRPr="00A66252">
        <w:rPr>
          <w:lang w:val="fr-FR" w:eastAsia="fr-FR"/>
        </w:rPr>
        <w:t xml:space="preserve"> l</w:t>
      </w:r>
      <w:r w:rsidR="00A66252" w:rsidRPr="00A66252">
        <w:rPr>
          <w:lang w:val="fr-FR" w:eastAsia="fr-FR"/>
        </w:rPr>
        <w:t>’</w:t>
      </w:r>
      <w:r w:rsidR="00F95B3C" w:rsidRPr="00A66252">
        <w:rPr>
          <w:lang w:val="fr-FR" w:eastAsia="fr-FR"/>
        </w:rPr>
        <w:t>administration d</w:t>
      </w:r>
      <w:r w:rsidR="00A66252" w:rsidRPr="00A66252">
        <w:rPr>
          <w:lang w:val="fr-FR" w:eastAsia="fr-FR"/>
        </w:rPr>
        <w:t>’</w:t>
      </w:r>
      <w:proofErr w:type="spellStart"/>
      <w:r w:rsidR="00F95B3C" w:rsidRPr="00A66252">
        <w:rPr>
          <w:lang w:val="fr-FR" w:eastAsia="fr-FR"/>
        </w:rPr>
        <w:t>Ibrutinib</w:t>
      </w:r>
      <w:proofErr w:type="spellEnd"/>
      <w:r w:rsidR="00F95B3C" w:rsidRPr="00A66252">
        <w:rPr>
          <w:lang w:val="fr-FR" w:eastAsia="fr-FR"/>
        </w:rPr>
        <w:t xml:space="preserve"> suivie d</w:t>
      </w:r>
      <w:r w:rsidR="00A66252" w:rsidRPr="00A66252">
        <w:rPr>
          <w:lang w:val="fr-FR" w:eastAsia="fr-FR"/>
        </w:rPr>
        <w:t>’</w:t>
      </w:r>
      <w:r w:rsidR="00F95B3C" w:rsidRPr="00A66252">
        <w:rPr>
          <w:lang w:val="fr-FR" w:eastAsia="fr-FR"/>
        </w:rPr>
        <w:t>une allogreffe et que</w:t>
      </w:r>
      <w:r w:rsidR="00DE712E" w:rsidRPr="00A66252">
        <w:rPr>
          <w:lang w:val="fr-FR" w:eastAsia="fr-FR"/>
        </w:rPr>
        <w:t>,</w:t>
      </w:r>
      <w:r w:rsidR="00F95B3C" w:rsidRPr="00A66252">
        <w:rPr>
          <w:lang w:val="fr-FR" w:eastAsia="fr-FR"/>
        </w:rPr>
        <w:t xml:space="preserve"> privé de ce traitement</w:t>
      </w:r>
      <w:r w:rsidR="00DE712E" w:rsidRPr="00A66252">
        <w:rPr>
          <w:lang w:val="fr-FR" w:eastAsia="fr-FR"/>
        </w:rPr>
        <w:t>,</w:t>
      </w:r>
      <w:r w:rsidR="00F95B3C" w:rsidRPr="00A66252">
        <w:rPr>
          <w:lang w:val="fr-FR" w:eastAsia="fr-FR"/>
        </w:rPr>
        <w:t xml:space="preserve"> sa survie </w:t>
      </w:r>
      <w:r w:rsidR="0095339B" w:rsidRPr="00A66252">
        <w:rPr>
          <w:lang w:val="fr-FR" w:eastAsia="fr-FR"/>
        </w:rPr>
        <w:t xml:space="preserve">aurait été </w:t>
      </w:r>
      <w:r w:rsidR="00F95B3C" w:rsidRPr="00A66252">
        <w:rPr>
          <w:lang w:val="fr-FR" w:eastAsia="fr-FR"/>
        </w:rPr>
        <w:t>de trois mois</w:t>
      </w:r>
      <w:r w:rsidR="00500EF8" w:rsidRPr="00A66252">
        <w:rPr>
          <w:lang w:val="fr-FR" w:eastAsia="fr-FR"/>
        </w:rPr>
        <w:t>,</w:t>
      </w:r>
      <w:r w:rsidR="00F95B3C" w:rsidRPr="00A66252">
        <w:rPr>
          <w:lang w:val="fr-FR" w:eastAsia="fr-FR"/>
        </w:rPr>
        <w:t xml:space="preserve"> </w:t>
      </w:r>
      <w:r w:rsidR="0095339B" w:rsidRPr="00A66252">
        <w:rPr>
          <w:lang w:val="fr-FR" w:eastAsia="fr-FR"/>
        </w:rPr>
        <w:t xml:space="preserve">était </w:t>
      </w:r>
      <w:r w:rsidR="00F95B3C" w:rsidRPr="00A66252">
        <w:rPr>
          <w:lang w:val="fr-FR" w:eastAsia="fr-FR"/>
        </w:rPr>
        <w:t>difficilement objectivable. D</w:t>
      </w:r>
      <w:r w:rsidR="00A66252" w:rsidRPr="00A66252">
        <w:rPr>
          <w:lang w:val="fr-FR" w:eastAsia="fr-FR"/>
        </w:rPr>
        <w:t>’</w:t>
      </w:r>
      <w:r w:rsidR="006A1051" w:rsidRPr="00A66252">
        <w:rPr>
          <w:lang w:val="fr-FR" w:eastAsia="fr-FR"/>
        </w:rPr>
        <w:t xml:space="preserve">autres paramètres </w:t>
      </w:r>
      <w:r w:rsidR="00F95B3C" w:rsidRPr="00A66252">
        <w:rPr>
          <w:lang w:val="fr-FR" w:eastAsia="fr-FR"/>
        </w:rPr>
        <w:t>entr</w:t>
      </w:r>
      <w:r w:rsidR="0095339B" w:rsidRPr="00A66252">
        <w:rPr>
          <w:lang w:val="fr-FR" w:eastAsia="fr-FR"/>
        </w:rPr>
        <w:t>aie</w:t>
      </w:r>
      <w:r w:rsidR="00F95B3C" w:rsidRPr="00A66252">
        <w:rPr>
          <w:lang w:val="fr-FR" w:eastAsia="fr-FR"/>
        </w:rPr>
        <w:t>nt en jeu tels que l</w:t>
      </w:r>
      <w:r w:rsidR="00A66252" w:rsidRPr="00A66252">
        <w:rPr>
          <w:lang w:val="fr-FR" w:eastAsia="fr-FR"/>
        </w:rPr>
        <w:t>’</w:t>
      </w:r>
      <w:r w:rsidR="00F95B3C" w:rsidRPr="00A66252">
        <w:rPr>
          <w:lang w:val="fr-FR" w:eastAsia="fr-FR"/>
        </w:rPr>
        <w:t>augmentation de l</w:t>
      </w:r>
      <w:r w:rsidR="00A66252" w:rsidRPr="00A66252">
        <w:rPr>
          <w:lang w:val="fr-FR" w:eastAsia="fr-FR"/>
        </w:rPr>
        <w:t>’</w:t>
      </w:r>
      <w:r w:rsidR="00F95B3C" w:rsidRPr="00A66252">
        <w:rPr>
          <w:lang w:val="fr-FR" w:eastAsia="fr-FR"/>
        </w:rPr>
        <w:t xml:space="preserve">espérance de vie du fait de la prise de ce médicament, </w:t>
      </w:r>
      <w:r w:rsidR="00DE712E" w:rsidRPr="00A66252">
        <w:rPr>
          <w:lang w:val="fr-FR" w:eastAsia="fr-FR"/>
        </w:rPr>
        <w:t>la faisabilité de l</w:t>
      </w:r>
      <w:r w:rsidR="00A66252" w:rsidRPr="00A66252">
        <w:rPr>
          <w:lang w:val="fr-FR" w:eastAsia="fr-FR"/>
        </w:rPr>
        <w:t>’</w:t>
      </w:r>
      <w:r w:rsidR="00DE712E" w:rsidRPr="00A66252">
        <w:rPr>
          <w:lang w:val="fr-FR" w:eastAsia="fr-FR"/>
        </w:rPr>
        <w:t>opération elle-même tributaire de l</w:t>
      </w:r>
      <w:r w:rsidR="00A66252" w:rsidRPr="00A66252">
        <w:rPr>
          <w:lang w:val="fr-FR" w:eastAsia="fr-FR"/>
        </w:rPr>
        <w:t>’</w:t>
      </w:r>
      <w:r w:rsidR="00DE712E" w:rsidRPr="00A66252">
        <w:rPr>
          <w:lang w:val="fr-FR" w:eastAsia="fr-FR"/>
        </w:rPr>
        <w:t>évolution de l</w:t>
      </w:r>
      <w:r w:rsidR="00A66252" w:rsidRPr="00A66252">
        <w:rPr>
          <w:lang w:val="fr-FR" w:eastAsia="fr-FR"/>
        </w:rPr>
        <w:t>’</w:t>
      </w:r>
      <w:r w:rsidR="00DE712E" w:rsidRPr="00A66252">
        <w:rPr>
          <w:lang w:val="fr-FR" w:eastAsia="fr-FR"/>
        </w:rPr>
        <w:t xml:space="preserve">état général du requérant ou </w:t>
      </w:r>
      <w:r w:rsidR="00F95B3C" w:rsidRPr="00A66252">
        <w:rPr>
          <w:lang w:val="fr-FR" w:eastAsia="fr-FR"/>
        </w:rPr>
        <w:t>l</w:t>
      </w:r>
      <w:r w:rsidR="00DE712E" w:rsidRPr="00A66252">
        <w:rPr>
          <w:lang w:val="fr-FR" w:eastAsia="fr-FR"/>
        </w:rPr>
        <w:t>e faible pourcentage de réussite de l</w:t>
      </w:r>
      <w:r w:rsidR="00A66252" w:rsidRPr="00A66252">
        <w:rPr>
          <w:lang w:val="fr-FR" w:eastAsia="fr-FR"/>
        </w:rPr>
        <w:t>’</w:t>
      </w:r>
      <w:r w:rsidR="00DE712E" w:rsidRPr="00A66252">
        <w:rPr>
          <w:lang w:val="fr-FR" w:eastAsia="fr-FR"/>
        </w:rPr>
        <w:t>opération. Il s</w:t>
      </w:r>
      <w:r w:rsidR="00A66252" w:rsidRPr="00A66252">
        <w:rPr>
          <w:lang w:val="fr-FR" w:eastAsia="fr-FR"/>
        </w:rPr>
        <w:t>’</w:t>
      </w:r>
      <w:r w:rsidR="00DE712E" w:rsidRPr="00A66252">
        <w:rPr>
          <w:lang w:val="fr-FR" w:eastAsia="fr-FR"/>
        </w:rPr>
        <w:t>agi</w:t>
      </w:r>
      <w:r w:rsidR="0095339B" w:rsidRPr="00A66252">
        <w:rPr>
          <w:lang w:val="fr-FR" w:eastAsia="fr-FR"/>
        </w:rPr>
        <w:t>ssai</w:t>
      </w:r>
      <w:r w:rsidR="00DE712E" w:rsidRPr="00A66252">
        <w:rPr>
          <w:lang w:val="fr-FR" w:eastAsia="fr-FR"/>
        </w:rPr>
        <w:t xml:space="preserve">t </w:t>
      </w:r>
      <w:r w:rsidR="00B70912" w:rsidRPr="00A66252">
        <w:rPr>
          <w:lang w:val="fr-FR" w:eastAsia="fr-FR"/>
        </w:rPr>
        <w:t xml:space="preserve">en somme </w:t>
      </w:r>
      <w:r w:rsidR="00DE712E" w:rsidRPr="00A66252">
        <w:rPr>
          <w:lang w:val="fr-FR" w:eastAsia="fr-FR"/>
        </w:rPr>
        <w:t>d</w:t>
      </w:r>
      <w:r w:rsidR="00A66252" w:rsidRPr="00A66252">
        <w:rPr>
          <w:lang w:val="fr-FR" w:eastAsia="fr-FR"/>
        </w:rPr>
        <w:t>’</w:t>
      </w:r>
      <w:r w:rsidR="00DE712E" w:rsidRPr="00A66252">
        <w:rPr>
          <w:lang w:val="fr-FR" w:eastAsia="fr-FR"/>
        </w:rPr>
        <w:t xml:space="preserve">une initiative privée </w:t>
      </w:r>
      <w:r w:rsidR="00B70912" w:rsidRPr="00A66252">
        <w:rPr>
          <w:lang w:val="fr-FR" w:eastAsia="fr-FR"/>
        </w:rPr>
        <w:t xml:space="preserve">du médecin traitant </w:t>
      </w:r>
      <w:r w:rsidR="00DE712E" w:rsidRPr="00A66252">
        <w:rPr>
          <w:lang w:val="fr-FR" w:eastAsia="fr-FR"/>
        </w:rPr>
        <w:t>qui appara</w:t>
      </w:r>
      <w:r w:rsidR="0095339B" w:rsidRPr="00A66252">
        <w:rPr>
          <w:lang w:val="fr-FR" w:eastAsia="fr-FR"/>
        </w:rPr>
        <w:t xml:space="preserve">issait </w:t>
      </w:r>
      <w:r w:rsidR="00DE712E" w:rsidRPr="00A66252">
        <w:rPr>
          <w:lang w:val="fr-FR" w:eastAsia="fr-FR"/>
        </w:rPr>
        <w:t xml:space="preserve">comme un choix stratégique </w:t>
      </w:r>
      <w:r w:rsidR="00FD046F" w:rsidRPr="00A66252">
        <w:rPr>
          <w:lang w:val="fr-FR" w:eastAsia="fr-FR"/>
        </w:rPr>
        <w:t>et</w:t>
      </w:r>
      <w:r w:rsidR="00DE712E" w:rsidRPr="00A66252">
        <w:rPr>
          <w:lang w:val="fr-FR" w:eastAsia="fr-FR"/>
        </w:rPr>
        <w:t xml:space="preserve"> hypothétique</w:t>
      </w:r>
      <w:r w:rsidR="00FD046F" w:rsidRPr="00A66252">
        <w:rPr>
          <w:lang w:val="fr-FR" w:eastAsia="fr-FR"/>
        </w:rPr>
        <w:t xml:space="preserve">, liée aux besoins de la recherche, et </w:t>
      </w:r>
      <w:r w:rsidR="00B70912" w:rsidRPr="00A66252">
        <w:rPr>
          <w:lang w:val="fr-FR" w:eastAsia="fr-FR"/>
        </w:rPr>
        <w:t>dont la nécessité d</w:t>
      </w:r>
      <w:r w:rsidR="00A66252" w:rsidRPr="00A66252">
        <w:rPr>
          <w:lang w:val="fr-FR" w:eastAsia="fr-FR"/>
        </w:rPr>
        <w:t>’</w:t>
      </w:r>
      <w:r w:rsidR="00B70912" w:rsidRPr="00A66252">
        <w:rPr>
          <w:lang w:val="fr-FR" w:eastAsia="fr-FR"/>
        </w:rPr>
        <w:t xml:space="preserve">en garantir la continuité </w:t>
      </w:r>
      <w:r w:rsidR="0095339B" w:rsidRPr="00A66252">
        <w:rPr>
          <w:lang w:val="fr-FR" w:eastAsia="fr-FR"/>
        </w:rPr>
        <w:t xml:space="preserve">était </w:t>
      </w:r>
      <w:r w:rsidR="00FD046F" w:rsidRPr="00A66252">
        <w:rPr>
          <w:lang w:val="fr-FR" w:eastAsia="fr-FR"/>
        </w:rPr>
        <w:t>sujette à caution</w:t>
      </w:r>
      <w:r w:rsidR="00B70912" w:rsidRPr="00A66252">
        <w:rPr>
          <w:lang w:val="fr-FR" w:eastAsia="fr-FR"/>
        </w:rPr>
        <w:t>.</w:t>
      </w:r>
      <w:r w:rsidR="00BC0444" w:rsidRPr="00A66252">
        <w:rPr>
          <w:lang w:val="fr-FR" w:eastAsia="fr-FR"/>
        </w:rPr>
        <w:t xml:space="preserve"> </w:t>
      </w:r>
      <w:r w:rsidR="00FD046F" w:rsidRPr="00A66252">
        <w:rPr>
          <w:lang w:val="fr-FR" w:eastAsia="fr-FR"/>
        </w:rPr>
        <w:t>Quant aux autres affections, les informations médicales fournies ne permett</w:t>
      </w:r>
      <w:r w:rsidR="0095339B" w:rsidRPr="00A66252">
        <w:rPr>
          <w:lang w:val="fr-FR" w:eastAsia="fr-FR"/>
        </w:rPr>
        <w:t>ai</w:t>
      </w:r>
      <w:r w:rsidR="00FD046F" w:rsidRPr="00A66252">
        <w:rPr>
          <w:lang w:val="fr-FR" w:eastAsia="fr-FR"/>
        </w:rPr>
        <w:t>ent pas d</w:t>
      </w:r>
      <w:r w:rsidR="00A66252" w:rsidRPr="00A66252">
        <w:rPr>
          <w:lang w:val="fr-FR" w:eastAsia="fr-FR"/>
        </w:rPr>
        <w:t>’</w:t>
      </w:r>
      <w:r w:rsidR="00FD046F" w:rsidRPr="00A66252">
        <w:rPr>
          <w:lang w:val="fr-FR" w:eastAsia="fr-FR"/>
        </w:rPr>
        <w:t>évaluer leur stade d</w:t>
      </w:r>
      <w:r w:rsidR="00A66252" w:rsidRPr="00A66252">
        <w:rPr>
          <w:lang w:val="fr-FR" w:eastAsia="fr-FR"/>
        </w:rPr>
        <w:t>’</w:t>
      </w:r>
      <w:r w:rsidR="00FD046F" w:rsidRPr="00A66252">
        <w:rPr>
          <w:lang w:val="fr-FR" w:eastAsia="fr-FR"/>
        </w:rPr>
        <w:t>avancement.</w:t>
      </w:r>
    </w:p>
    <w:p w:rsidR="008D53D0" w:rsidRPr="00A66252" w:rsidRDefault="00BC0444"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154</w:t>
      </w:r>
      <w:r w:rsidRPr="00A66252">
        <w:rPr>
          <w:lang w:val="fr-FR" w:eastAsia="fr-FR"/>
        </w:rPr>
        <w:fldChar w:fldCharType="end"/>
      </w:r>
      <w:r w:rsidRPr="00A66252">
        <w:rPr>
          <w:lang w:val="fr-FR" w:eastAsia="fr-FR"/>
        </w:rPr>
        <w:t>.  </w:t>
      </w:r>
      <w:r w:rsidR="000B5783" w:rsidRPr="00A66252">
        <w:rPr>
          <w:lang w:val="fr-FR" w:eastAsia="fr-FR"/>
        </w:rPr>
        <w:t>Selon le Gouvernement, v</w:t>
      </w:r>
      <w:r w:rsidR="008D53D0" w:rsidRPr="00A66252">
        <w:rPr>
          <w:lang w:val="fr-FR" w:eastAsia="fr-FR"/>
        </w:rPr>
        <w:t xml:space="preserve">u ces imprécisions ainsi </w:t>
      </w:r>
      <w:r w:rsidR="000B5783" w:rsidRPr="00A66252">
        <w:rPr>
          <w:lang w:val="fr-FR" w:eastAsia="fr-FR"/>
        </w:rPr>
        <w:t xml:space="preserve">que </w:t>
      </w:r>
      <w:r w:rsidR="008D53D0" w:rsidRPr="00A66252">
        <w:rPr>
          <w:lang w:val="fr-FR" w:eastAsia="fr-FR"/>
        </w:rPr>
        <w:t>la complexité et le risque que représente une transplantation</w:t>
      </w:r>
      <w:r w:rsidR="00FD046F" w:rsidRPr="00A66252">
        <w:rPr>
          <w:lang w:val="fr-FR" w:eastAsia="fr-FR"/>
        </w:rPr>
        <w:t xml:space="preserve">, </w:t>
      </w:r>
      <w:r w:rsidR="000B5783" w:rsidRPr="00A66252">
        <w:rPr>
          <w:lang w:val="fr-FR" w:eastAsia="fr-FR"/>
        </w:rPr>
        <w:t>il</w:t>
      </w:r>
      <w:r w:rsidRPr="00A66252">
        <w:rPr>
          <w:lang w:val="fr-FR" w:eastAsia="fr-FR"/>
        </w:rPr>
        <w:t xml:space="preserve"> </w:t>
      </w:r>
      <w:r w:rsidR="0095339B" w:rsidRPr="00A66252">
        <w:rPr>
          <w:lang w:val="fr-FR" w:eastAsia="fr-FR"/>
        </w:rPr>
        <w:t xml:space="preserve">aurait pu </w:t>
      </w:r>
      <w:r w:rsidR="00A9165D" w:rsidRPr="00A66252">
        <w:rPr>
          <w:lang w:val="fr-FR" w:eastAsia="fr-FR"/>
        </w:rPr>
        <w:t>être</w:t>
      </w:r>
      <w:r w:rsidR="008D53D0" w:rsidRPr="00A66252">
        <w:rPr>
          <w:lang w:val="fr-FR" w:eastAsia="fr-FR"/>
        </w:rPr>
        <w:t xml:space="preserve"> envisag</w:t>
      </w:r>
      <w:r w:rsidR="00A9165D" w:rsidRPr="00A66252">
        <w:rPr>
          <w:lang w:val="fr-FR" w:eastAsia="fr-FR"/>
        </w:rPr>
        <w:t>é</w:t>
      </w:r>
      <w:r w:rsidR="000B5783" w:rsidRPr="00A66252">
        <w:rPr>
          <w:lang w:val="fr-FR" w:eastAsia="fr-FR"/>
        </w:rPr>
        <w:t>, sur la base des données du dossier médical</w:t>
      </w:r>
      <w:r w:rsidR="00A9165D" w:rsidRPr="00A66252">
        <w:rPr>
          <w:lang w:val="fr-FR" w:eastAsia="fr-FR"/>
        </w:rPr>
        <w:t>,</w:t>
      </w:r>
      <w:r w:rsidR="000B5783" w:rsidRPr="00A66252">
        <w:rPr>
          <w:lang w:val="fr-FR" w:eastAsia="fr-FR"/>
        </w:rPr>
        <w:t xml:space="preserve"> </w:t>
      </w:r>
      <w:r w:rsidR="008D53D0" w:rsidRPr="00A66252">
        <w:rPr>
          <w:lang w:val="fr-FR" w:eastAsia="fr-FR"/>
        </w:rPr>
        <w:t>d</w:t>
      </w:r>
      <w:r w:rsidR="00A66252" w:rsidRPr="00A66252">
        <w:rPr>
          <w:lang w:val="fr-FR" w:eastAsia="fr-FR"/>
        </w:rPr>
        <w:t>’</w:t>
      </w:r>
      <w:r w:rsidR="008D53D0" w:rsidRPr="00A66252">
        <w:rPr>
          <w:lang w:val="fr-FR" w:eastAsia="fr-FR"/>
        </w:rPr>
        <w:t>abandonner la voie de l</w:t>
      </w:r>
      <w:r w:rsidR="00A66252" w:rsidRPr="00A66252">
        <w:rPr>
          <w:lang w:val="fr-FR" w:eastAsia="fr-FR"/>
        </w:rPr>
        <w:t>’</w:t>
      </w:r>
      <w:r w:rsidR="008D53D0" w:rsidRPr="00A66252">
        <w:rPr>
          <w:lang w:val="fr-FR" w:eastAsia="fr-FR"/>
        </w:rPr>
        <w:t>allogreffe et de poursuivre en Géorgie le traitement par</w:t>
      </w:r>
      <w:r w:rsidR="008D53D0" w:rsidRPr="00A66252">
        <w:rPr>
          <w:lang w:val="fr-FR"/>
        </w:rPr>
        <w:t xml:space="preserve"> </w:t>
      </w:r>
      <w:proofErr w:type="spellStart"/>
      <w:r w:rsidR="008D53D0" w:rsidRPr="00A66252">
        <w:rPr>
          <w:lang w:val="fr-FR" w:eastAsia="fr-FR"/>
        </w:rPr>
        <w:t>Ibrutinib</w:t>
      </w:r>
      <w:proofErr w:type="spellEnd"/>
      <w:r w:rsidR="008D53D0" w:rsidRPr="00A66252">
        <w:rPr>
          <w:lang w:val="fr-FR" w:eastAsia="fr-FR"/>
        </w:rPr>
        <w:t xml:space="preserve"> sous contrôle d</w:t>
      </w:r>
      <w:r w:rsidR="00A66252" w:rsidRPr="00A66252">
        <w:rPr>
          <w:lang w:val="fr-FR" w:eastAsia="fr-FR"/>
        </w:rPr>
        <w:t>’</w:t>
      </w:r>
      <w:r w:rsidR="008D53D0" w:rsidRPr="00A66252">
        <w:rPr>
          <w:lang w:val="fr-FR" w:eastAsia="fr-FR"/>
        </w:rPr>
        <w:t>un service d</w:t>
      </w:r>
      <w:r w:rsidR="00A66252" w:rsidRPr="00A66252">
        <w:rPr>
          <w:lang w:val="fr-FR" w:eastAsia="fr-FR"/>
        </w:rPr>
        <w:t>’</w:t>
      </w:r>
      <w:r w:rsidR="008D53D0" w:rsidRPr="00A66252">
        <w:rPr>
          <w:lang w:val="fr-FR" w:eastAsia="fr-FR"/>
        </w:rPr>
        <w:t>hématologie.</w:t>
      </w:r>
    </w:p>
    <w:p w:rsidR="00AC29C6" w:rsidRPr="00A66252" w:rsidRDefault="005969DF"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155</w:t>
      </w:r>
      <w:r w:rsidRPr="00A66252">
        <w:rPr>
          <w:lang w:val="fr-FR" w:eastAsia="fr-FR"/>
        </w:rPr>
        <w:fldChar w:fldCharType="end"/>
      </w:r>
      <w:r w:rsidRPr="00A66252">
        <w:rPr>
          <w:lang w:val="fr-FR" w:eastAsia="fr-FR"/>
        </w:rPr>
        <w:t>.  </w:t>
      </w:r>
      <w:r w:rsidR="00515AFD" w:rsidRPr="00A66252">
        <w:rPr>
          <w:lang w:val="fr-FR" w:eastAsia="fr-FR"/>
        </w:rPr>
        <w:t>S</w:t>
      </w:r>
      <w:r w:rsidR="005A60A0" w:rsidRPr="00A66252">
        <w:rPr>
          <w:lang w:val="fr-FR" w:eastAsia="fr-FR"/>
        </w:rPr>
        <w:t xml:space="preserve">e </w:t>
      </w:r>
      <w:r w:rsidR="009C42E3" w:rsidRPr="00A66252">
        <w:rPr>
          <w:lang w:val="fr-FR" w:eastAsia="fr-FR"/>
        </w:rPr>
        <w:t>pose</w:t>
      </w:r>
      <w:r w:rsidR="00515AFD" w:rsidRPr="00A66252">
        <w:rPr>
          <w:lang w:val="fr-FR" w:eastAsia="fr-FR"/>
        </w:rPr>
        <w:t xml:space="preserve"> ensuite</w:t>
      </w:r>
      <w:r w:rsidR="005A60A0" w:rsidRPr="00A66252">
        <w:rPr>
          <w:lang w:val="fr-FR" w:eastAsia="fr-FR"/>
        </w:rPr>
        <w:t xml:space="preserve"> </w:t>
      </w:r>
      <w:r w:rsidRPr="00A66252">
        <w:rPr>
          <w:lang w:val="fr-FR" w:eastAsia="fr-FR"/>
        </w:rPr>
        <w:t>la question de savoir s</w:t>
      </w:r>
      <w:r w:rsidR="00A66252" w:rsidRPr="00A66252">
        <w:rPr>
          <w:lang w:val="fr-FR" w:eastAsia="fr-FR"/>
        </w:rPr>
        <w:t>’</w:t>
      </w:r>
      <w:r w:rsidR="005A60A0" w:rsidRPr="00A66252">
        <w:rPr>
          <w:lang w:val="fr-FR" w:eastAsia="fr-FR"/>
        </w:rPr>
        <w:t>il y a</w:t>
      </w:r>
      <w:r w:rsidR="0095339B" w:rsidRPr="00A66252">
        <w:rPr>
          <w:lang w:val="fr-FR" w:eastAsia="fr-FR"/>
        </w:rPr>
        <w:t>vait</w:t>
      </w:r>
      <w:r w:rsidR="005A60A0" w:rsidRPr="00A66252">
        <w:rPr>
          <w:lang w:val="fr-FR" w:eastAsia="fr-FR"/>
        </w:rPr>
        <w:t xml:space="preserve"> de</w:t>
      </w:r>
      <w:r w:rsidR="000A07F0" w:rsidRPr="00A66252">
        <w:rPr>
          <w:lang w:val="fr-FR" w:eastAsia="fr-FR"/>
        </w:rPr>
        <w:t>s</w:t>
      </w:r>
      <w:r w:rsidR="005A60A0" w:rsidRPr="00A66252">
        <w:rPr>
          <w:lang w:val="fr-FR" w:eastAsia="fr-FR"/>
        </w:rPr>
        <w:t xml:space="preserve"> raisons de penser que l</w:t>
      </w:r>
      <w:r w:rsidR="00EA2354" w:rsidRPr="00A66252">
        <w:rPr>
          <w:lang w:val="fr-FR" w:eastAsia="fr-FR"/>
        </w:rPr>
        <w:t>e</w:t>
      </w:r>
      <w:r w:rsidR="005A60A0" w:rsidRPr="00A66252">
        <w:rPr>
          <w:lang w:val="fr-FR" w:eastAsia="fr-FR"/>
        </w:rPr>
        <w:t xml:space="preserve"> requérant, une fois éloigné</w:t>
      </w:r>
      <w:r w:rsidR="00EA2354" w:rsidRPr="00A66252">
        <w:rPr>
          <w:lang w:val="fr-FR" w:eastAsia="fr-FR"/>
        </w:rPr>
        <w:t xml:space="preserve">, </w:t>
      </w:r>
      <w:r w:rsidR="0095339B" w:rsidRPr="00A66252">
        <w:rPr>
          <w:lang w:val="fr-FR" w:eastAsia="fr-FR"/>
        </w:rPr>
        <w:t xml:space="preserve">aurait fait </w:t>
      </w:r>
      <w:r w:rsidR="00EA2354" w:rsidRPr="00A66252">
        <w:rPr>
          <w:lang w:val="fr-FR" w:eastAsia="fr-FR"/>
        </w:rPr>
        <w:t>face à un risque sérieux de traitement inhumain et dégradant</w:t>
      </w:r>
      <w:r w:rsidR="000B5783" w:rsidRPr="00A66252">
        <w:rPr>
          <w:lang w:val="fr-FR" w:eastAsia="fr-FR"/>
        </w:rPr>
        <w:t>.</w:t>
      </w:r>
      <w:r w:rsidR="000A07F0" w:rsidRPr="00A66252">
        <w:rPr>
          <w:lang w:val="fr-FR" w:eastAsia="fr-FR"/>
        </w:rPr>
        <w:t xml:space="preserve"> L</w:t>
      </w:r>
      <w:r w:rsidR="000B5783" w:rsidRPr="00A66252">
        <w:rPr>
          <w:lang w:val="fr-FR" w:eastAsia="fr-FR"/>
        </w:rPr>
        <w:t xml:space="preserve">e Gouvernement </w:t>
      </w:r>
      <w:r w:rsidR="009C42E3" w:rsidRPr="00A66252">
        <w:rPr>
          <w:lang w:val="fr-FR" w:eastAsia="fr-FR"/>
        </w:rPr>
        <w:t xml:space="preserve">fait </w:t>
      </w:r>
      <w:r w:rsidR="000B5783" w:rsidRPr="00A66252">
        <w:rPr>
          <w:lang w:val="fr-FR" w:eastAsia="fr-FR"/>
        </w:rPr>
        <w:t xml:space="preserve">valoir que la charge de la preuve </w:t>
      </w:r>
      <w:r w:rsidR="000A07F0" w:rsidRPr="00A66252">
        <w:rPr>
          <w:lang w:val="fr-FR" w:eastAsia="fr-FR"/>
        </w:rPr>
        <w:t xml:space="preserve">à cet égard </w:t>
      </w:r>
      <w:r w:rsidR="000B5783" w:rsidRPr="00A66252">
        <w:rPr>
          <w:lang w:val="fr-FR" w:eastAsia="fr-FR"/>
        </w:rPr>
        <w:t xml:space="preserve">dépend de la question de savoir si </w:t>
      </w:r>
      <w:r w:rsidR="007A6F22" w:rsidRPr="00A66252">
        <w:rPr>
          <w:lang w:val="fr-FR" w:eastAsia="fr-FR"/>
        </w:rPr>
        <w:t xml:space="preserve">le seuil de gravité défini dans les arrêts </w:t>
      </w:r>
      <w:r w:rsidR="007A6F22" w:rsidRPr="00A66252">
        <w:rPr>
          <w:i/>
          <w:lang w:val="fr-FR" w:eastAsia="fr-FR"/>
        </w:rPr>
        <w:t>D.</w:t>
      </w:r>
      <w:r w:rsidR="007A6F22" w:rsidRPr="00A66252">
        <w:rPr>
          <w:lang w:val="fr-FR" w:eastAsia="fr-FR"/>
        </w:rPr>
        <w:t xml:space="preserve"> </w:t>
      </w:r>
      <w:r w:rsidR="002A58EC" w:rsidRPr="00A66252">
        <w:rPr>
          <w:i/>
          <w:lang w:val="fr-FR" w:eastAsia="fr-FR"/>
        </w:rPr>
        <w:t>c. Royaume-Uni</w:t>
      </w:r>
      <w:r w:rsidR="002A58EC" w:rsidRPr="00A66252">
        <w:rPr>
          <w:lang w:val="fr-FR" w:eastAsia="fr-FR"/>
        </w:rPr>
        <w:t xml:space="preserve"> </w:t>
      </w:r>
      <w:r w:rsidR="007A6F22" w:rsidRPr="00A66252">
        <w:rPr>
          <w:lang w:val="fr-FR" w:eastAsia="fr-FR"/>
        </w:rPr>
        <w:t xml:space="preserve">et </w:t>
      </w:r>
      <w:r w:rsidR="007A6F22" w:rsidRPr="00A66252">
        <w:rPr>
          <w:i/>
          <w:lang w:val="fr-FR" w:eastAsia="fr-FR"/>
        </w:rPr>
        <w:t>N.</w:t>
      </w:r>
      <w:r w:rsidR="00963A36" w:rsidRPr="00A66252">
        <w:rPr>
          <w:i/>
          <w:lang w:val="fr-FR" w:eastAsia="fr-FR"/>
        </w:rPr>
        <w:t xml:space="preserve"> c. Royaume-Uni</w:t>
      </w:r>
      <w:r w:rsidR="007A6F22" w:rsidRPr="00A66252">
        <w:rPr>
          <w:i/>
          <w:lang w:val="fr-FR" w:eastAsia="fr-FR"/>
        </w:rPr>
        <w:t xml:space="preserve"> </w:t>
      </w:r>
      <w:r w:rsidR="007A6F22" w:rsidRPr="00A66252">
        <w:rPr>
          <w:lang w:val="fr-FR" w:eastAsia="fr-FR"/>
        </w:rPr>
        <w:lastRenderedPageBreak/>
        <w:t xml:space="preserve">précités </w:t>
      </w:r>
      <w:r w:rsidR="009C42E3" w:rsidRPr="00A66252">
        <w:rPr>
          <w:lang w:val="fr-FR" w:eastAsia="fr-FR"/>
        </w:rPr>
        <w:t>est</w:t>
      </w:r>
      <w:r w:rsidR="0095339B" w:rsidRPr="00A66252">
        <w:rPr>
          <w:lang w:val="fr-FR" w:eastAsia="fr-FR"/>
        </w:rPr>
        <w:t xml:space="preserve"> </w:t>
      </w:r>
      <w:r w:rsidR="007A6F22" w:rsidRPr="00A66252">
        <w:rPr>
          <w:lang w:val="fr-FR" w:eastAsia="fr-FR"/>
        </w:rPr>
        <w:t>modifié. Si l</w:t>
      </w:r>
      <w:r w:rsidR="00A66252" w:rsidRPr="00A66252">
        <w:rPr>
          <w:lang w:val="fr-FR" w:eastAsia="fr-FR"/>
        </w:rPr>
        <w:t>’</w:t>
      </w:r>
      <w:r w:rsidR="007A6F22" w:rsidRPr="00A66252">
        <w:rPr>
          <w:lang w:val="fr-FR" w:eastAsia="fr-FR"/>
        </w:rPr>
        <w:t xml:space="preserve">on </w:t>
      </w:r>
      <w:r w:rsidR="00861090" w:rsidRPr="00A66252">
        <w:rPr>
          <w:lang w:val="fr-FR" w:eastAsia="fr-FR"/>
        </w:rPr>
        <w:t xml:space="preserve">maintient la jurisprudence, la différence des niveaux de soins entre </w:t>
      </w:r>
      <w:r w:rsidR="007770D9" w:rsidRPr="00A66252">
        <w:rPr>
          <w:lang w:val="fr-FR" w:eastAsia="fr-FR"/>
        </w:rPr>
        <w:t>l</w:t>
      </w:r>
      <w:r w:rsidR="00A66252" w:rsidRPr="00A66252">
        <w:rPr>
          <w:lang w:val="fr-FR" w:eastAsia="fr-FR"/>
        </w:rPr>
        <w:t>’</w:t>
      </w:r>
      <w:r w:rsidR="007770D9" w:rsidRPr="00A66252">
        <w:rPr>
          <w:lang w:val="fr-FR" w:eastAsia="fr-FR"/>
        </w:rPr>
        <w:t>É</w:t>
      </w:r>
      <w:r w:rsidR="0023636B" w:rsidRPr="00A66252">
        <w:rPr>
          <w:lang w:val="fr-FR" w:eastAsia="fr-FR"/>
        </w:rPr>
        <w:t>tat de renvoi</w:t>
      </w:r>
      <w:r w:rsidR="00861090" w:rsidRPr="00A66252">
        <w:rPr>
          <w:lang w:val="fr-FR" w:eastAsia="fr-FR"/>
        </w:rPr>
        <w:t xml:space="preserve"> et </w:t>
      </w:r>
      <w:r w:rsidR="000A07F0" w:rsidRPr="00A66252">
        <w:rPr>
          <w:lang w:val="fr-FR" w:eastAsia="fr-FR"/>
        </w:rPr>
        <w:t>l</w:t>
      </w:r>
      <w:r w:rsidR="00A66252" w:rsidRPr="00A66252">
        <w:rPr>
          <w:lang w:val="fr-FR" w:eastAsia="fr-FR"/>
        </w:rPr>
        <w:t>’</w:t>
      </w:r>
      <w:r w:rsidR="007770D9" w:rsidRPr="00A66252">
        <w:rPr>
          <w:lang w:val="fr-FR" w:eastAsia="fr-FR"/>
        </w:rPr>
        <w:t>É</w:t>
      </w:r>
      <w:r w:rsidR="000A07F0" w:rsidRPr="00A66252">
        <w:rPr>
          <w:lang w:val="fr-FR" w:eastAsia="fr-FR"/>
        </w:rPr>
        <w:t>tat de destination</w:t>
      </w:r>
      <w:r w:rsidR="00861090" w:rsidRPr="00A66252">
        <w:rPr>
          <w:lang w:val="fr-FR" w:eastAsia="fr-FR"/>
        </w:rPr>
        <w:t xml:space="preserve"> n</w:t>
      </w:r>
      <w:r w:rsidR="00A66252" w:rsidRPr="00A66252">
        <w:rPr>
          <w:lang w:val="fr-FR" w:eastAsia="fr-FR"/>
        </w:rPr>
        <w:t>’</w:t>
      </w:r>
      <w:r w:rsidR="00861090" w:rsidRPr="00A66252">
        <w:rPr>
          <w:lang w:val="fr-FR" w:eastAsia="fr-FR"/>
        </w:rPr>
        <w:t>entre en considération que dans l</w:t>
      </w:r>
      <w:r w:rsidR="00A66252" w:rsidRPr="00A66252">
        <w:rPr>
          <w:lang w:val="fr-FR" w:eastAsia="fr-FR"/>
        </w:rPr>
        <w:t>’</w:t>
      </w:r>
      <w:r w:rsidR="00861090" w:rsidRPr="00A66252">
        <w:rPr>
          <w:lang w:val="fr-FR" w:eastAsia="fr-FR"/>
        </w:rPr>
        <w:t>hypothèse où l</w:t>
      </w:r>
      <w:r w:rsidR="00A66252" w:rsidRPr="00A66252">
        <w:rPr>
          <w:lang w:val="fr-FR" w:eastAsia="fr-FR"/>
        </w:rPr>
        <w:t>’</w:t>
      </w:r>
      <w:r w:rsidR="00861090" w:rsidRPr="00A66252">
        <w:rPr>
          <w:lang w:val="fr-FR" w:eastAsia="fr-FR"/>
        </w:rPr>
        <w:t>état de santé de l</w:t>
      </w:r>
      <w:r w:rsidR="00A66252" w:rsidRPr="00A66252">
        <w:rPr>
          <w:lang w:val="fr-FR" w:eastAsia="fr-FR"/>
        </w:rPr>
        <w:t>’</w:t>
      </w:r>
      <w:r w:rsidR="00861090" w:rsidRPr="00A66252">
        <w:rPr>
          <w:lang w:val="fr-FR" w:eastAsia="fr-FR"/>
        </w:rPr>
        <w:t>intéressé est critique au moment de procéder à son expulsion.</w:t>
      </w:r>
      <w:r w:rsidR="000A07F0" w:rsidRPr="00A66252">
        <w:rPr>
          <w:lang w:val="fr-FR" w:eastAsia="fr-FR"/>
        </w:rPr>
        <w:t xml:space="preserve"> S</w:t>
      </w:r>
      <w:r w:rsidR="005A74F9" w:rsidRPr="00A66252">
        <w:rPr>
          <w:lang w:val="fr-FR" w:eastAsia="fr-FR"/>
        </w:rPr>
        <w:t xml:space="preserve">i, en revanche, </w:t>
      </w:r>
      <w:r w:rsidR="000A07F0" w:rsidRPr="00A66252">
        <w:rPr>
          <w:lang w:val="fr-FR" w:eastAsia="fr-FR"/>
        </w:rPr>
        <w:t>il s</w:t>
      </w:r>
      <w:r w:rsidR="00A66252" w:rsidRPr="00A66252">
        <w:rPr>
          <w:lang w:val="fr-FR" w:eastAsia="fr-FR"/>
        </w:rPr>
        <w:t>’</w:t>
      </w:r>
      <w:r w:rsidR="000A07F0" w:rsidRPr="00A66252">
        <w:rPr>
          <w:lang w:val="fr-FR" w:eastAsia="fr-FR"/>
        </w:rPr>
        <w:t>agit d</w:t>
      </w:r>
      <w:r w:rsidR="00A66252" w:rsidRPr="00A66252">
        <w:rPr>
          <w:lang w:val="fr-FR" w:eastAsia="fr-FR"/>
        </w:rPr>
        <w:t>’</w:t>
      </w:r>
      <w:r w:rsidR="000A07F0" w:rsidRPr="00A66252">
        <w:rPr>
          <w:lang w:val="fr-FR" w:eastAsia="fr-FR"/>
        </w:rPr>
        <w:t>apporter non plus la preuve des conditions dans lesquelles l</w:t>
      </w:r>
      <w:r w:rsidR="00A66252" w:rsidRPr="00A66252">
        <w:rPr>
          <w:lang w:val="fr-FR" w:eastAsia="fr-FR"/>
        </w:rPr>
        <w:t>’</w:t>
      </w:r>
      <w:r w:rsidR="000A07F0" w:rsidRPr="00A66252">
        <w:rPr>
          <w:lang w:val="fr-FR" w:eastAsia="fr-FR"/>
        </w:rPr>
        <w:t>intéressé va mourir mais des conditions dans lesquelles il doit être maintenu en vie, la charge de la preuve est déplacée</w:t>
      </w:r>
      <w:r w:rsidR="00A22974" w:rsidRPr="00A66252">
        <w:rPr>
          <w:lang w:val="fr-FR" w:eastAsia="fr-FR"/>
        </w:rPr>
        <w:t xml:space="preserve"> </w:t>
      </w:r>
      <w:r w:rsidR="00D14651" w:rsidRPr="00A66252">
        <w:rPr>
          <w:lang w:val="fr-FR" w:eastAsia="fr-FR"/>
        </w:rPr>
        <w:t>su</w:t>
      </w:r>
      <w:r w:rsidR="00800622" w:rsidRPr="00A66252">
        <w:rPr>
          <w:lang w:val="fr-FR" w:eastAsia="fr-FR"/>
        </w:rPr>
        <w:t>r les conditions de vie dans l</w:t>
      </w:r>
      <w:r w:rsidR="00A66252" w:rsidRPr="00A66252">
        <w:rPr>
          <w:lang w:val="fr-FR" w:eastAsia="fr-FR"/>
        </w:rPr>
        <w:t>’</w:t>
      </w:r>
      <w:r w:rsidR="00800622" w:rsidRPr="00A66252">
        <w:rPr>
          <w:lang w:val="fr-FR" w:eastAsia="fr-FR"/>
        </w:rPr>
        <w:t>É</w:t>
      </w:r>
      <w:r w:rsidR="00D14651" w:rsidRPr="00A66252">
        <w:rPr>
          <w:lang w:val="fr-FR" w:eastAsia="fr-FR"/>
        </w:rPr>
        <w:t>tat d</w:t>
      </w:r>
      <w:r w:rsidR="00A66252" w:rsidRPr="00A66252">
        <w:rPr>
          <w:lang w:val="fr-FR" w:eastAsia="fr-FR"/>
        </w:rPr>
        <w:t>’</w:t>
      </w:r>
      <w:r w:rsidR="00D14651" w:rsidRPr="00A66252">
        <w:rPr>
          <w:lang w:val="fr-FR" w:eastAsia="fr-FR"/>
        </w:rPr>
        <w:t>accueil</w:t>
      </w:r>
      <w:r w:rsidR="00A22974" w:rsidRPr="00A66252">
        <w:rPr>
          <w:lang w:val="fr-FR" w:eastAsia="fr-FR"/>
        </w:rPr>
        <w:t xml:space="preserve">. </w:t>
      </w:r>
      <w:r w:rsidR="002E209F" w:rsidRPr="00A66252">
        <w:rPr>
          <w:lang w:val="fr-FR" w:eastAsia="fr-FR"/>
        </w:rPr>
        <w:t>Un tel déplacement s</w:t>
      </w:r>
      <w:r w:rsidR="006A1051" w:rsidRPr="00A66252">
        <w:rPr>
          <w:lang w:val="fr-FR" w:eastAsia="fr-FR"/>
        </w:rPr>
        <w:t>oulève de nombreuses questions.</w:t>
      </w:r>
    </w:p>
    <w:p w:rsidR="000A07F0" w:rsidRPr="00A66252" w:rsidRDefault="00AC29C6"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156</w:t>
      </w:r>
      <w:r w:rsidRPr="00A66252">
        <w:rPr>
          <w:lang w:val="fr-FR" w:eastAsia="fr-FR"/>
        </w:rPr>
        <w:fldChar w:fldCharType="end"/>
      </w:r>
      <w:r w:rsidRPr="00A66252">
        <w:rPr>
          <w:lang w:val="fr-FR" w:eastAsia="fr-FR"/>
        </w:rPr>
        <w:t>.  </w:t>
      </w:r>
      <w:r w:rsidR="00A22974" w:rsidRPr="00A66252">
        <w:rPr>
          <w:lang w:val="fr-FR" w:eastAsia="fr-FR"/>
        </w:rPr>
        <w:t>Un de</w:t>
      </w:r>
      <w:r w:rsidR="00D14651" w:rsidRPr="00A66252">
        <w:rPr>
          <w:lang w:val="fr-FR" w:eastAsia="fr-FR"/>
        </w:rPr>
        <w:t>s</w:t>
      </w:r>
      <w:r w:rsidR="00A22974" w:rsidRPr="00A66252">
        <w:rPr>
          <w:lang w:val="fr-FR" w:eastAsia="fr-FR"/>
        </w:rPr>
        <w:t xml:space="preserve"> facteurs </w:t>
      </w:r>
      <w:r w:rsidR="00D14651" w:rsidRPr="00A66252">
        <w:rPr>
          <w:lang w:val="fr-FR" w:eastAsia="fr-FR"/>
        </w:rPr>
        <w:t xml:space="preserve">à prendre en compte </w:t>
      </w:r>
      <w:r w:rsidR="00A22974" w:rsidRPr="00A66252">
        <w:rPr>
          <w:lang w:val="fr-FR" w:eastAsia="fr-FR"/>
        </w:rPr>
        <w:t>est la situation personnelle précise de l</w:t>
      </w:r>
      <w:r w:rsidR="00A66252" w:rsidRPr="00A66252">
        <w:rPr>
          <w:lang w:val="fr-FR" w:eastAsia="fr-FR"/>
        </w:rPr>
        <w:t>’</w:t>
      </w:r>
      <w:r w:rsidR="00A22974" w:rsidRPr="00A66252">
        <w:rPr>
          <w:lang w:val="fr-FR" w:eastAsia="fr-FR"/>
        </w:rPr>
        <w:t>intéressé et notamment les liens qu</w:t>
      </w:r>
      <w:r w:rsidR="00A66252" w:rsidRPr="00A66252">
        <w:rPr>
          <w:lang w:val="fr-FR" w:eastAsia="fr-FR"/>
        </w:rPr>
        <w:t>’</w:t>
      </w:r>
      <w:r w:rsidR="00A22974" w:rsidRPr="00A66252">
        <w:rPr>
          <w:lang w:val="fr-FR" w:eastAsia="fr-FR"/>
        </w:rPr>
        <w:t>il a gardés dans son pays et les ressources qu</w:t>
      </w:r>
      <w:r w:rsidR="00A66252" w:rsidRPr="00A66252">
        <w:rPr>
          <w:lang w:val="fr-FR" w:eastAsia="fr-FR"/>
        </w:rPr>
        <w:t>’</w:t>
      </w:r>
      <w:r w:rsidR="00A22974" w:rsidRPr="00A66252">
        <w:rPr>
          <w:lang w:val="fr-FR" w:eastAsia="fr-FR"/>
        </w:rPr>
        <w:t xml:space="preserve">il peut mobiliser pour poursuivre les traitements. </w:t>
      </w:r>
      <w:r w:rsidR="002E209F" w:rsidRPr="00A66252">
        <w:rPr>
          <w:lang w:val="fr-FR" w:eastAsia="fr-FR"/>
        </w:rPr>
        <w:t xml:space="preserve">Or le requérant </w:t>
      </w:r>
      <w:r w:rsidR="009C42E3" w:rsidRPr="00A66252">
        <w:rPr>
          <w:lang w:val="fr-FR" w:eastAsia="fr-FR"/>
        </w:rPr>
        <w:t>n</w:t>
      </w:r>
      <w:r w:rsidR="00A66252" w:rsidRPr="00A66252">
        <w:rPr>
          <w:lang w:val="fr-FR" w:eastAsia="fr-FR"/>
        </w:rPr>
        <w:t>’</w:t>
      </w:r>
      <w:r w:rsidR="009C42E3" w:rsidRPr="00A66252">
        <w:rPr>
          <w:lang w:val="fr-FR" w:eastAsia="fr-FR"/>
        </w:rPr>
        <w:t xml:space="preserve">a </w:t>
      </w:r>
      <w:r w:rsidR="002E209F" w:rsidRPr="00A66252">
        <w:rPr>
          <w:lang w:val="fr-FR" w:eastAsia="fr-FR"/>
        </w:rPr>
        <w:t xml:space="preserve">pas fourni de données précises à </w:t>
      </w:r>
      <w:r w:rsidR="005A74F9" w:rsidRPr="00A66252">
        <w:rPr>
          <w:lang w:val="fr-FR" w:eastAsia="fr-FR"/>
        </w:rPr>
        <w:t>c</w:t>
      </w:r>
      <w:r w:rsidR="002E209F" w:rsidRPr="00A66252">
        <w:rPr>
          <w:lang w:val="fr-FR" w:eastAsia="fr-FR"/>
        </w:rPr>
        <w:t xml:space="preserve">e sujet. </w:t>
      </w:r>
      <w:r w:rsidR="00A22974" w:rsidRPr="00A66252">
        <w:rPr>
          <w:lang w:val="fr-FR" w:eastAsia="fr-FR"/>
        </w:rPr>
        <w:t xml:space="preserve">Un autre facteur est celui de </w:t>
      </w:r>
      <w:r w:rsidR="00D14651" w:rsidRPr="00A66252">
        <w:rPr>
          <w:lang w:val="fr-FR" w:eastAsia="fr-FR"/>
        </w:rPr>
        <w:t>la situation du systèm</w:t>
      </w:r>
      <w:r w:rsidR="00C22A95" w:rsidRPr="00A66252">
        <w:rPr>
          <w:lang w:val="fr-FR" w:eastAsia="fr-FR"/>
        </w:rPr>
        <w:t>e de protection sociale dans l</w:t>
      </w:r>
      <w:r w:rsidR="00A66252" w:rsidRPr="00A66252">
        <w:rPr>
          <w:lang w:val="fr-FR" w:eastAsia="fr-FR"/>
        </w:rPr>
        <w:t>’</w:t>
      </w:r>
      <w:r w:rsidR="00C22A95" w:rsidRPr="00A66252">
        <w:rPr>
          <w:lang w:val="fr-FR" w:eastAsia="fr-FR"/>
        </w:rPr>
        <w:t>É</w:t>
      </w:r>
      <w:r w:rsidR="00D14651" w:rsidRPr="00A66252">
        <w:rPr>
          <w:lang w:val="fr-FR" w:eastAsia="fr-FR"/>
        </w:rPr>
        <w:t>tat d</w:t>
      </w:r>
      <w:r w:rsidR="00A66252" w:rsidRPr="00A66252">
        <w:rPr>
          <w:lang w:val="fr-FR" w:eastAsia="fr-FR"/>
        </w:rPr>
        <w:t>’</w:t>
      </w:r>
      <w:r w:rsidR="00F651DF" w:rsidRPr="00A66252">
        <w:rPr>
          <w:lang w:val="fr-FR" w:eastAsia="fr-FR"/>
        </w:rPr>
        <w:t xml:space="preserve">accueil. </w:t>
      </w:r>
      <w:r w:rsidR="002E209F" w:rsidRPr="00A66252">
        <w:rPr>
          <w:lang w:val="fr-FR" w:eastAsia="fr-FR"/>
        </w:rPr>
        <w:t>Or</w:t>
      </w:r>
      <w:r w:rsidR="00BD6ED3" w:rsidRPr="00A66252">
        <w:rPr>
          <w:lang w:val="fr-FR" w:eastAsia="fr-FR"/>
        </w:rPr>
        <w:t>,</w:t>
      </w:r>
      <w:r w:rsidR="002E209F" w:rsidRPr="00A66252">
        <w:rPr>
          <w:lang w:val="fr-FR" w:eastAsia="fr-FR"/>
        </w:rPr>
        <w:t xml:space="preserve"> l</w:t>
      </w:r>
      <w:r w:rsidR="00A66252" w:rsidRPr="00A66252">
        <w:rPr>
          <w:lang w:val="fr-FR" w:eastAsia="fr-FR"/>
        </w:rPr>
        <w:t>’</w:t>
      </w:r>
      <w:r w:rsidR="002E209F" w:rsidRPr="00A66252">
        <w:rPr>
          <w:lang w:val="fr-FR" w:eastAsia="fr-FR"/>
        </w:rPr>
        <w:t xml:space="preserve">appréciation de </w:t>
      </w:r>
      <w:r w:rsidR="005A74F9" w:rsidRPr="00A66252">
        <w:rPr>
          <w:lang w:val="fr-FR" w:eastAsia="fr-FR"/>
        </w:rPr>
        <w:t>cette</w:t>
      </w:r>
      <w:r w:rsidR="002E209F" w:rsidRPr="00A66252">
        <w:rPr>
          <w:lang w:val="fr-FR" w:eastAsia="fr-FR"/>
        </w:rPr>
        <w:t xml:space="preserve"> situation est par définition complexe et générale et ne permet pas d</w:t>
      </w:r>
      <w:r w:rsidR="00A66252" w:rsidRPr="00A66252">
        <w:rPr>
          <w:lang w:val="fr-FR" w:eastAsia="fr-FR"/>
        </w:rPr>
        <w:t>’</w:t>
      </w:r>
      <w:r w:rsidR="002E209F" w:rsidRPr="00A66252">
        <w:rPr>
          <w:lang w:val="fr-FR" w:eastAsia="fr-FR"/>
        </w:rPr>
        <w:t>identifier un traitement précis. De plus, s</w:t>
      </w:r>
      <w:r w:rsidR="00F651DF" w:rsidRPr="00A66252">
        <w:rPr>
          <w:lang w:val="fr-FR" w:eastAsia="fr-FR"/>
        </w:rPr>
        <w:t>i l</w:t>
      </w:r>
      <w:r w:rsidR="00A66252" w:rsidRPr="00A66252">
        <w:rPr>
          <w:lang w:val="fr-FR" w:eastAsia="fr-FR"/>
        </w:rPr>
        <w:t>’</w:t>
      </w:r>
      <w:r w:rsidR="00F651DF" w:rsidRPr="00A66252">
        <w:rPr>
          <w:lang w:val="fr-FR" w:eastAsia="fr-FR"/>
        </w:rPr>
        <w:t>on se base sur les seules chances de survie, se pose</w:t>
      </w:r>
      <w:r w:rsidR="008970B2" w:rsidRPr="00A66252">
        <w:rPr>
          <w:lang w:val="fr-FR" w:eastAsia="fr-FR"/>
        </w:rPr>
        <w:t xml:space="preserve"> </w:t>
      </w:r>
      <w:r w:rsidR="00F651DF" w:rsidRPr="00A66252">
        <w:rPr>
          <w:lang w:val="fr-FR" w:eastAsia="fr-FR"/>
        </w:rPr>
        <w:t>la question de savoir à quel stade de traitement du requérant il convient de décider que l</w:t>
      </w:r>
      <w:r w:rsidR="00A66252" w:rsidRPr="00A66252">
        <w:rPr>
          <w:lang w:val="fr-FR" w:eastAsia="fr-FR"/>
        </w:rPr>
        <w:t>’</w:t>
      </w:r>
      <w:r w:rsidR="00F651DF" w:rsidRPr="00A66252">
        <w:rPr>
          <w:lang w:val="fr-FR" w:eastAsia="fr-FR"/>
        </w:rPr>
        <w:t>expulsion est contraire à l</w:t>
      </w:r>
      <w:r w:rsidR="00A66252" w:rsidRPr="00A66252">
        <w:rPr>
          <w:lang w:val="fr-FR" w:eastAsia="fr-FR"/>
        </w:rPr>
        <w:t>’</w:t>
      </w:r>
      <w:r w:rsidR="00F651DF" w:rsidRPr="00A66252">
        <w:rPr>
          <w:lang w:val="fr-FR" w:eastAsia="fr-FR"/>
        </w:rPr>
        <w:t>article 3. Sachant que la technique médicale est évolutive et multiforme</w:t>
      </w:r>
      <w:r w:rsidR="008970B2" w:rsidRPr="00A66252">
        <w:rPr>
          <w:lang w:val="fr-FR" w:eastAsia="fr-FR"/>
        </w:rPr>
        <w:t xml:space="preserve">, </w:t>
      </w:r>
      <w:r w:rsidR="005A74F9" w:rsidRPr="00A66252">
        <w:rPr>
          <w:lang w:val="fr-FR" w:eastAsia="fr-FR"/>
        </w:rPr>
        <w:t>ce</w:t>
      </w:r>
      <w:r w:rsidR="008970B2" w:rsidRPr="00A66252">
        <w:rPr>
          <w:lang w:val="fr-FR" w:eastAsia="fr-FR"/>
        </w:rPr>
        <w:t xml:space="preserve"> choix recèle une grande part d</w:t>
      </w:r>
      <w:r w:rsidR="00A66252" w:rsidRPr="00A66252">
        <w:rPr>
          <w:lang w:val="fr-FR" w:eastAsia="fr-FR"/>
        </w:rPr>
        <w:t>’</w:t>
      </w:r>
      <w:r w:rsidR="008970B2" w:rsidRPr="00A66252">
        <w:rPr>
          <w:lang w:val="fr-FR" w:eastAsia="fr-FR"/>
        </w:rPr>
        <w:t>arbitraire. Considérer, comme le sugg</w:t>
      </w:r>
      <w:r w:rsidR="0095339B" w:rsidRPr="00A66252">
        <w:rPr>
          <w:lang w:val="fr-FR" w:eastAsia="fr-FR"/>
        </w:rPr>
        <w:t>érait</w:t>
      </w:r>
      <w:r w:rsidR="008970B2" w:rsidRPr="00A66252">
        <w:rPr>
          <w:lang w:val="fr-FR" w:eastAsia="fr-FR"/>
        </w:rPr>
        <w:t xml:space="preserve"> le requérant, sa vulnérabilité pour identifier sa qualité de victime telle qu</w:t>
      </w:r>
      <w:r w:rsidR="00A66252" w:rsidRPr="00A66252">
        <w:rPr>
          <w:lang w:val="fr-FR" w:eastAsia="fr-FR"/>
        </w:rPr>
        <w:t>’</w:t>
      </w:r>
      <w:r w:rsidR="008970B2" w:rsidRPr="00A66252">
        <w:rPr>
          <w:lang w:val="fr-FR" w:eastAsia="fr-FR"/>
        </w:rPr>
        <w:t>elle résult</w:t>
      </w:r>
      <w:r w:rsidR="0095339B" w:rsidRPr="00A66252">
        <w:rPr>
          <w:lang w:val="fr-FR" w:eastAsia="fr-FR"/>
        </w:rPr>
        <w:t>ait</w:t>
      </w:r>
      <w:r w:rsidR="008970B2" w:rsidRPr="00A66252">
        <w:rPr>
          <w:lang w:val="fr-FR" w:eastAsia="fr-FR"/>
        </w:rPr>
        <w:t xml:space="preserve"> de la dégradation de son état de santé </w:t>
      </w:r>
      <w:r w:rsidR="0095339B" w:rsidRPr="00A66252">
        <w:rPr>
          <w:lang w:val="fr-FR" w:eastAsia="fr-FR"/>
        </w:rPr>
        <w:t>rev</w:t>
      </w:r>
      <w:r w:rsidR="00D35F1C" w:rsidRPr="00A66252">
        <w:rPr>
          <w:lang w:val="fr-FR" w:eastAsia="fr-FR"/>
        </w:rPr>
        <w:t>ient</w:t>
      </w:r>
      <w:r w:rsidR="0095339B" w:rsidRPr="00A66252">
        <w:rPr>
          <w:lang w:val="fr-FR" w:eastAsia="fr-FR"/>
        </w:rPr>
        <w:t xml:space="preserve"> </w:t>
      </w:r>
      <w:r w:rsidR="008970B2" w:rsidRPr="00A66252">
        <w:rPr>
          <w:lang w:val="fr-FR" w:eastAsia="fr-FR"/>
        </w:rPr>
        <w:t>à se demander ce qui le différenci</w:t>
      </w:r>
      <w:r w:rsidR="00D35F1C" w:rsidRPr="00A66252">
        <w:rPr>
          <w:lang w:val="fr-FR" w:eastAsia="fr-FR"/>
        </w:rPr>
        <w:t>ait</w:t>
      </w:r>
      <w:r w:rsidR="008970B2" w:rsidRPr="00A66252">
        <w:rPr>
          <w:lang w:val="fr-FR" w:eastAsia="fr-FR"/>
        </w:rPr>
        <w:t xml:space="preserve"> des autres ressortissants géorgiens malade</w:t>
      </w:r>
      <w:r w:rsidR="009A34EB" w:rsidRPr="00A66252">
        <w:rPr>
          <w:lang w:val="fr-FR" w:eastAsia="fr-FR"/>
        </w:rPr>
        <w:t>s</w:t>
      </w:r>
      <w:r w:rsidR="008970B2" w:rsidRPr="00A66252">
        <w:rPr>
          <w:lang w:val="fr-FR" w:eastAsia="fr-FR"/>
        </w:rPr>
        <w:t xml:space="preserve"> confrontés à leur propre système de santé.</w:t>
      </w:r>
      <w:r w:rsidR="009A34EB" w:rsidRPr="00A66252">
        <w:rPr>
          <w:lang w:val="fr-FR" w:eastAsia="fr-FR"/>
        </w:rPr>
        <w:t xml:space="preserve"> Or</w:t>
      </w:r>
      <w:r w:rsidR="00BD6ED3" w:rsidRPr="00A66252">
        <w:rPr>
          <w:lang w:val="fr-FR" w:eastAsia="fr-FR"/>
        </w:rPr>
        <w:t>,</w:t>
      </w:r>
      <w:r w:rsidR="009A34EB" w:rsidRPr="00A66252">
        <w:rPr>
          <w:lang w:val="fr-FR" w:eastAsia="fr-FR"/>
        </w:rPr>
        <w:t xml:space="preserve"> il saurait difficilement être soutenu que son séjour illégal et sa prise en charge médicale en Belgique marqu</w:t>
      </w:r>
      <w:r w:rsidR="0095339B" w:rsidRPr="00A66252">
        <w:rPr>
          <w:lang w:val="fr-FR" w:eastAsia="fr-FR"/>
        </w:rPr>
        <w:t>aie</w:t>
      </w:r>
      <w:r w:rsidR="009A34EB" w:rsidRPr="00A66252">
        <w:rPr>
          <w:lang w:val="fr-FR" w:eastAsia="fr-FR"/>
        </w:rPr>
        <w:t>nt la différence.</w:t>
      </w:r>
      <w:r w:rsidRPr="00A66252">
        <w:rPr>
          <w:lang w:val="fr-FR" w:eastAsia="fr-FR"/>
        </w:rPr>
        <w:t xml:space="preserve"> Ces questions ne donnent pas lieu à </w:t>
      </w:r>
      <w:r w:rsidR="005A74F9" w:rsidRPr="00A66252">
        <w:rPr>
          <w:lang w:val="fr-FR" w:eastAsia="fr-FR"/>
        </w:rPr>
        <w:t>des</w:t>
      </w:r>
      <w:r w:rsidRPr="00A66252">
        <w:rPr>
          <w:lang w:val="fr-FR" w:eastAsia="fr-FR"/>
        </w:rPr>
        <w:t xml:space="preserve"> réponse</w:t>
      </w:r>
      <w:r w:rsidR="005A74F9" w:rsidRPr="00A66252">
        <w:rPr>
          <w:lang w:val="fr-FR" w:eastAsia="fr-FR"/>
        </w:rPr>
        <w:t>s</w:t>
      </w:r>
      <w:r w:rsidRPr="00A66252">
        <w:rPr>
          <w:lang w:val="fr-FR" w:eastAsia="fr-FR"/>
        </w:rPr>
        <w:t xml:space="preserve"> univoque</w:t>
      </w:r>
      <w:r w:rsidR="005A74F9" w:rsidRPr="00A66252">
        <w:rPr>
          <w:lang w:val="fr-FR" w:eastAsia="fr-FR"/>
        </w:rPr>
        <w:t>s</w:t>
      </w:r>
      <w:r w:rsidRPr="00A66252">
        <w:rPr>
          <w:lang w:val="fr-FR" w:eastAsia="fr-FR"/>
        </w:rPr>
        <w:t xml:space="preserve"> mais à des suppositions de caractère général et spéculatif qui ne suffisent pas pour établir la responsabilité internationale de l</w:t>
      </w:r>
      <w:r w:rsidR="00A66252" w:rsidRPr="00A66252">
        <w:rPr>
          <w:lang w:val="fr-FR" w:eastAsia="fr-FR"/>
        </w:rPr>
        <w:t>’</w:t>
      </w:r>
      <w:r w:rsidR="00C22A95" w:rsidRPr="00A66252">
        <w:rPr>
          <w:lang w:val="fr-FR" w:eastAsia="fr-FR"/>
        </w:rPr>
        <w:t>É</w:t>
      </w:r>
      <w:r w:rsidRPr="00A66252">
        <w:rPr>
          <w:lang w:val="fr-FR" w:eastAsia="fr-FR"/>
        </w:rPr>
        <w:t>tat au-</w:t>
      </w:r>
      <w:r w:rsidR="006A1051" w:rsidRPr="00A66252">
        <w:rPr>
          <w:lang w:val="fr-FR" w:eastAsia="fr-FR"/>
        </w:rPr>
        <w:t>delà de tout doute raisonnable.</w:t>
      </w:r>
    </w:p>
    <w:p w:rsidR="00DB3945" w:rsidRPr="00A66252" w:rsidRDefault="000A605A" w:rsidP="00A66252">
      <w:pPr>
        <w:pStyle w:val="ECHRPara"/>
        <w:rPr>
          <w:i/>
          <w:lang w:val="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157</w:t>
      </w:r>
      <w:r w:rsidRPr="00A66252">
        <w:rPr>
          <w:szCs w:val="24"/>
          <w:lang w:val="fr-FR" w:eastAsia="fr-FR"/>
        </w:rPr>
        <w:fldChar w:fldCharType="end"/>
      </w:r>
      <w:r w:rsidRPr="00A66252">
        <w:rPr>
          <w:szCs w:val="24"/>
          <w:lang w:val="fr-FR" w:eastAsia="fr-FR"/>
        </w:rPr>
        <w:t>.  </w:t>
      </w:r>
      <w:r w:rsidR="00515AFD" w:rsidRPr="00A66252">
        <w:rPr>
          <w:szCs w:val="24"/>
          <w:lang w:val="fr-FR" w:eastAsia="fr-FR"/>
        </w:rPr>
        <w:t>Selon le Gouvernement, q</w:t>
      </w:r>
      <w:r w:rsidRPr="00A66252">
        <w:rPr>
          <w:szCs w:val="24"/>
          <w:lang w:val="fr-FR" w:eastAsia="fr-FR"/>
        </w:rPr>
        <w:t xml:space="preserve">uand bien même cet aspect spéculatif </w:t>
      </w:r>
      <w:r w:rsidR="0095339B" w:rsidRPr="00A66252">
        <w:rPr>
          <w:szCs w:val="24"/>
          <w:lang w:val="fr-FR" w:eastAsia="fr-FR"/>
        </w:rPr>
        <w:t xml:space="preserve">aurait pu </w:t>
      </w:r>
      <w:r w:rsidRPr="00A66252">
        <w:rPr>
          <w:szCs w:val="24"/>
          <w:lang w:val="fr-FR" w:eastAsia="fr-FR"/>
        </w:rPr>
        <w:t>être compensé par l</w:t>
      </w:r>
      <w:r w:rsidR="00A66252" w:rsidRPr="00A66252">
        <w:rPr>
          <w:szCs w:val="24"/>
          <w:lang w:val="fr-FR" w:eastAsia="fr-FR"/>
        </w:rPr>
        <w:t>’</w:t>
      </w:r>
      <w:r w:rsidRPr="00A66252">
        <w:rPr>
          <w:szCs w:val="24"/>
          <w:lang w:val="fr-FR" w:eastAsia="fr-FR"/>
        </w:rPr>
        <w:t>obtention d</w:t>
      </w:r>
      <w:r w:rsidR="00A66252" w:rsidRPr="00A66252">
        <w:rPr>
          <w:szCs w:val="24"/>
          <w:lang w:val="fr-FR" w:eastAsia="fr-FR"/>
        </w:rPr>
        <w:t>’</w:t>
      </w:r>
      <w:r w:rsidRPr="00A66252">
        <w:rPr>
          <w:szCs w:val="24"/>
          <w:lang w:val="fr-FR" w:eastAsia="fr-FR"/>
        </w:rPr>
        <w:t>assurances auprès de l</w:t>
      </w:r>
      <w:r w:rsidR="00A66252" w:rsidRPr="00A66252">
        <w:rPr>
          <w:szCs w:val="24"/>
          <w:lang w:val="fr-FR" w:eastAsia="fr-FR"/>
        </w:rPr>
        <w:t>’</w:t>
      </w:r>
      <w:r w:rsidR="00C22A95" w:rsidRPr="00A66252">
        <w:rPr>
          <w:szCs w:val="24"/>
          <w:lang w:val="fr-FR" w:eastAsia="fr-FR"/>
        </w:rPr>
        <w:t>É</w:t>
      </w:r>
      <w:r w:rsidRPr="00A66252">
        <w:rPr>
          <w:szCs w:val="24"/>
          <w:lang w:val="fr-FR" w:eastAsia="fr-FR"/>
        </w:rPr>
        <w:t xml:space="preserve">tat </w:t>
      </w:r>
      <w:r w:rsidR="00485F04" w:rsidRPr="00A66252">
        <w:rPr>
          <w:szCs w:val="24"/>
          <w:lang w:val="fr-FR" w:eastAsia="fr-FR"/>
        </w:rPr>
        <w:t>de destination</w:t>
      </w:r>
      <w:r w:rsidR="00754566" w:rsidRPr="00A66252">
        <w:rPr>
          <w:szCs w:val="24"/>
          <w:lang w:val="fr-FR" w:eastAsia="fr-FR"/>
        </w:rPr>
        <w:t>, ainsi que la Cour l</w:t>
      </w:r>
      <w:r w:rsidR="00A66252" w:rsidRPr="00A66252">
        <w:rPr>
          <w:szCs w:val="24"/>
          <w:lang w:val="fr-FR" w:eastAsia="fr-FR"/>
        </w:rPr>
        <w:t>’</w:t>
      </w:r>
      <w:r w:rsidR="00754566" w:rsidRPr="00A66252">
        <w:rPr>
          <w:szCs w:val="24"/>
          <w:lang w:val="fr-FR" w:eastAsia="fr-FR"/>
        </w:rPr>
        <w:t xml:space="preserve">a </w:t>
      </w:r>
      <w:r w:rsidR="00970008" w:rsidRPr="00A66252">
        <w:rPr>
          <w:szCs w:val="24"/>
          <w:lang w:val="fr-FR" w:eastAsia="fr-FR"/>
        </w:rPr>
        <w:t>évoqué</w:t>
      </w:r>
      <w:r w:rsidR="00754566" w:rsidRPr="00A66252">
        <w:rPr>
          <w:szCs w:val="24"/>
          <w:lang w:val="fr-FR" w:eastAsia="fr-FR"/>
        </w:rPr>
        <w:t xml:space="preserve"> dans</w:t>
      </w:r>
      <w:r w:rsidR="00970008" w:rsidRPr="00A66252">
        <w:rPr>
          <w:szCs w:val="24"/>
          <w:lang w:val="fr-FR" w:eastAsia="fr-FR"/>
        </w:rPr>
        <w:t xml:space="preserve"> l</w:t>
      </w:r>
      <w:r w:rsidR="00A66252" w:rsidRPr="00A66252">
        <w:rPr>
          <w:szCs w:val="24"/>
          <w:lang w:val="fr-FR" w:eastAsia="fr-FR"/>
        </w:rPr>
        <w:t>’</w:t>
      </w:r>
      <w:r w:rsidR="00970008" w:rsidRPr="00A66252">
        <w:rPr>
          <w:szCs w:val="24"/>
          <w:lang w:val="fr-FR" w:eastAsia="fr-FR"/>
        </w:rPr>
        <w:t>arrêt</w:t>
      </w:r>
      <w:r w:rsidR="00754566" w:rsidRPr="00A66252">
        <w:rPr>
          <w:szCs w:val="24"/>
          <w:lang w:val="fr-FR" w:eastAsia="fr-FR"/>
        </w:rPr>
        <w:t xml:space="preserve"> </w:t>
      </w:r>
      <w:r w:rsidR="00754566" w:rsidRPr="00A66252">
        <w:rPr>
          <w:i/>
          <w:lang w:val="fr-FR"/>
        </w:rPr>
        <w:t>Tatar c. Suisse</w:t>
      </w:r>
      <w:r w:rsidR="00754566" w:rsidRPr="00A66252">
        <w:rPr>
          <w:lang w:val="fr-FR"/>
        </w:rPr>
        <w:t xml:space="preserve"> (n</w:t>
      </w:r>
      <w:r w:rsidR="00754566" w:rsidRPr="00A66252">
        <w:rPr>
          <w:vertAlign w:val="superscript"/>
          <w:lang w:val="fr-FR"/>
        </w:rPr>
        <w:t>o</w:t>
      </w:r>
      <w:r w:rsidR="00B32D6C" w:rsidRPr="00A66252">
        <w:rPr>
          <w:lang w:val="fr-FR"/>
        </w:rPr>
        <w:t> </w:t>
      </w:r>
      <w:r w:rsidR="00754566" w:rsidRPr="00A66252">
        <w:rPr>
          <w:lang w:val="fr-FR"/>
        </w:rPr>
        <w:t>65692/12</w:t>
      </w:r>
      <w:r w:rsidR="00754566" w:rsidRPr="00A66252">
        <w:rPr>
          <w:snapToGrid w:val="0"/>
          <w:lang w:val="fr-FR"/>
        </w:rPr>
        <w:t xml:space="preserve">, 14 </w:t>
      </w:r>
      <w:r w:rsidR="00754566" w:rsidRPr="00A66252">
        <w:rPr>
          <w:lang w:val="fr-FR"/>
        </w:rPr>
        <w:t>avril</w:t>
      </w:r>
      <w:r w:rsidR="00754566" w:rsidRPr="00A66252">
        <w:rPr>
          <w:snapToGrid w:val="0"/>
          <w:lang w:val="fr-FR"/>
        </w:rPr>
        <w:t xml:space="preserve"> 2015)</w:t>
      </w:r>
      <w:r w:rsidR="00970008" w:rsidRPr="00A66252">
        <w:rPr>
          <w:snapToGrid w:val="0"/>
          <w:lang w:val="fr-FR"/>
        </w:rPr>
        <w:t>,</w:t>
      </w:r>
      <w:r w:rsidR="00754566" w:rsidRPr="00A66252">
        <w:rPr>
          <w:snapToGrid w:val="0"/>
          <w:lang w:val="fr-FR"/>
        </w:rPr>
        <w:t xml:space="preserve"> </w:t>
      </w:r>
      <w:r w:rsidR="00754566" w:rsidRPr="00A66252">
        <w:rPr>
          <w:szCs w:val="24"/>
          <w:lang w:val="fr-FR" w:eastAsia="fr-FR"/>
        </w:rPr>
        <w:t>il y a lieu de considérer qu</w:t>
      </w:r>
      <w:r w:rsidR="00A66252" w:rsidRPr="00A66252">
        <w:rPr>
          <w:szCs w:val="24"/>
          <w:lang w:val="fr-FR" w:eastAsia="fr-FR"/>
        </w:rPr>
        <w:t>’</w:t>
      </w:r>
      <w:r w:rsidR="00754566" w:rsidRPr="00A66252">
        <w:rPr>
          <w:szCs w:val="24"/>
          <w:lang w:val="fr-FR" w:eastAsia="fr-FR"/>
        </w:rPr>
        <w:t>en l</w:t>
      </w:r>
      <w:r w:rsidR="00A66252" w:rsidRPr="00A66252">
        <w:rPr>
          <w:szCs w:val="24"/>
          <w:lang w:val="fr-FR" w:eastAsia="fr-FR"/>
        </w:rPr>
        <w:t>’</w:t>
      </w:r>
      <w:r w:rsidR="00754566" w:rsidRPr="00A66252">
        <w:rPr>
          <w:szCs w:val="24"/>
          <w:lang w:val="fr-FR" w:eastAsia="fr-FR"/>
        </w:rPr>
        <w:t xml:space="preserve">espèce, </w:t>
      </w:r>
      <w:r w:rsidR="00970008" w:rsidRPr="00A66252">
        <w:rPr>
          <w:szCs w:val="24"/>
          <w:lang w:val="fr-FR" w:eastAsia="fr-FR"/>
        </w:rPr>
        <w:t>de telles assurances exist</w:t>
      </w:r>
      <w:r w:rsidR="00A438CB" w:rsidRPr="00A66252">
        <w:rPr>
          <w:szCs w:val="24"/>
          <w:lang w:val="fr-FR" w:eastAsia="fr-FR"/>
        </w:rPr>
        <w:t>ai</w:t>
      </w:r>
      <w:r w:rsidR="00970008" w:rsidRPr="00A66252">
        <w:rPr>
          <w:szCs w:val="24"/>
          <w:lang w:val="fr-FR" w:eastAsia="fr-FR"/>
        </w:rPr>
        <w:t xml:space="preserve">ent et </w:t>
      </w:r>
      <w:r w:rsidR="00A438CB" w:rsidRPr="00A66252">
        <w:rPr>
          <w:szCs w:val="24"/>
          <w:lang w:val="fr-FR" w:eastAsia="fr-FR"/>
        </w:rPr>
        <w:t xml:space="preserve">étaient </w:t>
      </w:r>
      <w:r w:rsidR="00754566" w:rsidRPr="00A66252">
        <w:rPr>
          <w:szCs w:val="24"/>
          <w:lang w:val="fr-FR" w:eastAsia="fr-FR"/>
        </w:rPr>
        <w:t>suffisantes</w:t>
      </w:r>
      <w:r w:rsidR="00970008" w:rsidRPr="00A66252">
        <w:rPr>
          <w:szCs w:val="24"/>
          <w:lang w:val="fr-FR" w:eastAsia="fr-FR"/>
        </w:rPr>
        <w:t>. En effet, le requérant rempli</w:t>
      </w:r>
      <w:r w:rsidR="00A438CB" w:rsidRPr="00A66252">
        <w:rPr>
          <w:szCs w:val="24"/>
          <w:lang w:val="fr-FR" w:eastAsia="fr-FR"/>
        </w:rPr>
        <w:t>ssai</w:t>
      </w:r>
      <w:r w:rsidR="00970008" w:rsidRPr="00A66252">
        <w:rPr>
          <w:szCs w:val="24"/>
          <w:lang w:val="fr-FR" w:eastAsia="fr-FR"/>
        </w:rPr>
        <w:t xml:space="preserve">t les conditions médicales pour voyager, les autorités locales </w:t>
      </w:r>
      <w:r w:rsidR="00A438CB" w:rsidRPr="00A66252">
        <w:rPr>
          <w:szCs w:val="24"/>
          <w:lang w:val="fr-FR" w:eastAsia="fr-FR"/>
        </w:rPr>
        <w:t xml:space="preserve">auraient été </w:t>
      </w:r>
      <w:r w:rsidR="00970008" w:rsidRPr="00A66252">
        <w:rPr>
          <w:szCs w:val="24"/>
          <w:lang w:val="fr-FR" w:eastAsia="fr-FR"/>
        </w:rPr>
        <w:t xml:space="preserve">informées des particularités de son état de santé ou </w:t>
      </w:r>
      <w:r w:rsidR="00A438CB" w:rsidRPr="00A66252">
        <w:rPr>
          <w:szCs w:val="24"/>
          <w:lang w:val="fr-FR" w:eastAsia="fr-FR"/>
        </w:rPr>
        <w:t xml:space="preserve">auraient reçu </w:t>
      </w:r>
      <w:r w:rsidR="00970008" w:rsidRPr="00A66252">
        <w:rPr>
          <w:szCs w:val="24"/>
          <w:lang w:val="fr-FR" w:eastAsia="fr-FR"/>
        </w:rPr>
        <w:t>la liste des traitements médicaux requis. Aucune garantie plus précise ne s</w:t>
      </w:r>
      <w:r w:rsidR="00A66252" w:rsidRPr="00A66252">
        <w:rPr>
          <w:szCs w:val="24"/>
          <w:lang w:val="fr-FR" w:eastAsia="fr-FR"/>
        </w:rPr>
        <w:t>’</w:t>
      </w:r>
      <w:r w:rsidR="00970008" w:rsidRPr="00A66252">
        <w:rPr>
          <w:szCs w:val="24"/>
          <w:lang w:val="fr-FR" w:eastAsia="fr-FR"/>
        </w:rPr>
        <w:t>impos</w:t>
      </w:r>
      <w:r w:rsidR="00A438CB" w:rsidRPr="00A66252">
        <w:rPr>
          <w:szCs w:val="24"/>
          <w:lang w:val="fr-FR" w:eastAsia="fr-FR"/>
        </w:rPr>
        <w:t>ait</w:t>
      </w:r>
      <w:r w:rsidR="00970008" w:rsidRPr="00A66252">
        <w:rPr>
          <w:szCs w:val="24"/>
          <w:lang w:val="fr-FR" w:eastAsia="fr-FR"/>
        </w:rPr>
        <w:t xml:space="preserve"> en l</w:t>
      </w:r>
      <w:r w:rsidR="00A66252" w:rsidRPr="00A66252">
        <w:rPr>
          <w:szCs w:val="24"/>
          <w:lang w:val="fr-FR" w:eastAsia="fr-FR"/>
        </w:rPr>
        <w:t>’</w:t>
      </w:r>
      <w:r w:rsidR="00970008" w:rsidRPr="00A66252">
        <w:rPr>
          <w:szCs w:val="24"/>
          <w:lang w:val="fr-FR" w:eastAsia="fr-FR"/>
        </w:rPr>
        <w:t>absence d</w:t>
      </w:r>
      <w:r w:rsidR="00A66252" w:rsidRPr="00A66252">
        <w:rPr>
          <w:szCs w:val="24"/>
          <w:lang w:val="fr-FR" w:eastAsia="fr-FR"/>
        </w:rPr>
        <w:t>’</w:t>
      </w:r>
      <w:r w:rsidR="00970008" w:rsidRPr="00A66252">
        <w:rPr>
          <w:szCs w:val="24"/>
          <w:lang w:val="fr-FR" w:eastAsia="fr-FR"/>
        </w:rPr>
        <w:t xml:space="preserve">indication que les autorités géorgiennes </w:t>
      </w:r>
      <w:r w:rsidR="00A438CB" w:rsidRPr="00A66252">
        <w:rPr>
          <w:szCs w:val="24"/>
          <w:lang w:val="fr-FR" w:eastAsia="fr-FR"/>
        </w:rPr>
        <w:t xml:space="preserve">auraient traité </w:t>
      </w:r>
      <w:r w:rsidR="00DB3945" w:rsidRPr="00A66252">
        <w:rPr>
          <w:szCs w:val="24"/>
          <w:lang w:val="fr-FR" w:eastAsia="fr-FR"/>
        </w:rPr>
        <w:t>le requérant d</w:t>
      </w:r>
      <w:r w:rsidR="00A66252" w:rsidRPr="00A66252">
        <w:rPr>
          <w:szCs w:val="24"/>
          <w:lang w:val="fr-FR" w:eastAsia="fr-FR"/>
        </w:rPr>
        <w:t>’</w:t>
      </w:r>
      <w:r w:rsidR="00DB3945" w:rsidRPr="00A66252">
        <w:rPr>
          <w:szCs w:val="24"/>
          <w:lang w:val="fr-FR" w:eastAsia="fr-FR"/>
        </w:rPr>
        <w:t>une façon moins favorable que la généralité des citoyens géorgiens ou qu</w:t>
      </w:r>
      <w:r w:rsidR="00A66252" w:rsidRPr="00A66252">
        <w:rPr>
          <w:szCs w:val="24"/>
          <w:lang w:val="fr-FR" w:eastAsia="fr-FR"/>
        </w:rPr>
        <w:t>’</w:t>
      </w:r>
      <w:r w:rsidR="00DB3945" w:rsidRPr="00A66252">
        <w:rPr>
          <w:szCs w:val="24"/>
          <w:lang w:val="fr-FR" w:eastAsia="fr-FR"/>
        </w:rPr>
        <w:t>il n</w:t>
      </w:r>
      <w:r w:rsidR="00A66252" w:rsidRPr="00A66252">
        <w:rPr>
          <w:szCs w:val="24"/>
          <w:lang w:val="fr-FR" w:eastAsia="fr-FR"/>
        </w:rPr>
        <w:t>’</w:t>
      </w:r>
      <w:r w:rsidR="00A438CB" w:rsidRPr="00A66252">
        <w:rPr>
          <w:szCs w:val="24"/>
          <w:lang w:val="fr-FR" w:eastAsia="fr-FR"/>
        </w:rPr>
        <w:t xml:space="preserve">aurait pas pu </w:t>
      </w:r>
      <w:r w:rsidR="00DB3945" w:rsidRPr="00A66252">
        <w:rPr>
          <w:szCs w:val="24"/>
          <w:lang w:val="fr-FR" w:eastAsia="fr-FR"/>
        </w:rPr>
        <w:t>bénéficier d</w:t>
      </w:r>
      <w:r w:rsidR="00A66252" w:rsidRPr="00A66252">
        <w:rPr>
          <w:szCs w:val="24"/>
          <w:lang w:val="fr-FR" w:eastAsia="fr-FR"/>
        </w:rPr>
        <w:t>’</w:t>
      </w:r>
      <w:r w:rsidR="00DB3945" w:rsidRPr="00A66252">
        <w:rPr>
          <w:szCs w:val="24"/>
          <w:lang w:val="fr-FR" w:eastAsia="fr-FR"/>
        </w:rPr>
        <w:t>un traitement médical prenant en compte les spécificités de sa pathologie.</w:t>
      </w:r>
      <w:r w:rsidR="00E6268E" w:rsidRPr="00A66252">
        <w:rPr>
          <w:szCs w:val="24"/>
          <w:lang w:val="fr-FR" w:eastAsia="fr-FR"/>
        </w:rPr>
        <w:t xml:space="preserve"> </w:t>
      </w:r>
      <w:r w:rsidR="003064F1" w:rsidRPr="00A66252">
        <w:rPr>
          <w:szCs w:val="24"/>
          <w:lang w:val="fr-FR" w:eastAsia="fr-FR"/>
        </w:rPr>
        <w:t>À</w:t>
      </w:r>
      <w:r w:rsidR="00E6268E" w:rsidRPr="00A66252">
        <w:rPr>
          <w:szCs w:val="24"/>
          <w:lang w:val="fr-FR" w:eastAsia="fr-FR"/>
        </w:rPr>
        <w:t xml:space="preserve"> ce titre, il </w:t>
      </w:r>
      <w:r w:rsidR="00A438CB" w:rsidRPr="00A66252">
        <w:rPr>
          <w:szCs w:val="24"/>
          <w:lang w:val="fr-FR" w:eastAsia="fr-FR"/>
        </w:rPr>
        <w:t xml:space="preserve">aurait pu </w:t>
      </w:r>
      <w:r w:rsidR="00E6268E" w:rsidRPr="00A66252">
        <w:rPr>
          <w:szCs w:val="24"/>
          <w:lang w:val="fr-FR" w:eastAsia="fr-FR"/>
        </w:rPr>
        <w:t>être envisagé que la continuité du traitement à l</w:t>
      </w:r>
      <w:r w:rsidR="00A66252" w:rsidRPr="00A66252">
        <w:rPr>
          <w:szCs w:val="24"/>
          <w:lang w:val="fr-FR" w:eastAsia="fr-FR"/>
        </w:rPr>
        <w:t>’</w:t>
      </w:r>
      <w:proofErr w:type="spellStart"/>
      <w:r w:rsidR="00E6268E" w:rsidRPr="00A66252">
        <w:rPr>
          <w:szCs w:val="24"/>
          <w:lang w:val="fr-FR" w:eastAsia="fr-FR"/>
        </w:rPr>
        <w:t>Ibrutinib</w:t>
      </w:r>
      <w:proofErr w:type="spellEnd"/>
      <w:r w:rsidR="00E6268E" w:rsidRPr="00A66252">
        <w:rPr>
          <w:szCs w:val="24"/>
          <w:lang w:val="fr-FR" w:eastAsia="fr-FR"/>
        </w:rPr>
        <w:t xml:space="preserve"> </w:t>
      </w:r>
      <w:r w:rsidR="006C4D12" w:rsidRPr="00A66252">
        <w:rPr>
          <w:szCs w:val="24"/>
          <w:lang w:val="fr-FR" w:eastAsia="fr-FR"/>
        </w:rPr>
        <w:t>fût</w:t>
      </w:r>
      <w:r w:rsidR="00A438CB" w:rsidRPr="00A66252">
        <w:rPr>
          <w:szCs w:val="24"/>
          <w:lang w:val="fr-FR" w:eastAsia="fr-FR"/>
        </w:rPr>
        <w:t xml:space="preserve"> </w:t>
      </w:r>
      <w:r w:rsidR="00E6268E" w:rsidRPr="00A66252">
        <w:rPr>
          <w:szCs w:val="24"/>
          <w:lang w:val="fr-FR" w:eastAsia="fr-FR"/>
        </w:rPr>
        <w:t>garantie par le biais d</w:t>
      </w:r>
      <w:r w:rsidR="00A66252" w:rsidRPr="00A66252">
        <w:rPr>
          <w:szCs w:val="24"/>
          <w:lang w:val="fr-FR" w:eastAsia="fr-FR"/>
        </w:rPr>
        <w:t>’</w:t>
      </w:r>
      <w:r w:rsidR="00E6268E" w:rsidRPr="00A66252">
        <w:rPr>
          <w:szCs w:val="24"/>
          <w:lang w:val="fr-FR" w:eastAsia="fr-FR"/>
        </w:rPr>
        <w:t xml:space="preserve">envois postaux </w:t>
      </w:r>
      <w:r w:rsidR="00515AFD" w:rsidRPr="00A66252">
        <w:rPr>
          <w:szCs w:val="24"/>
          <w:lang w:val="fr-FR" w:eastAsia="fr-FR"/>
        </w:rPr>
        <w:t>sous le contrôle d</w:t>
      </w:r>
      <w:r w:rsidR="00A438CB" w:rsidRPr="00A66252">
        <w:rPr>
          <w:szCs w:val="24"/>
          <w:lang w:val="fr-FR" w:eastAsia="fr-FR"/>
        </w:rPr>
        <w:t xml:space="preserve">u </w:t>
      </w:r>
      <w:r w:rsidR="00515AFD" w:rsidRPr="00A66252">
        <w:rPr>
          <w:szCs w:val="24"/>
          <w:lang w:val="fr-FR" w:eastAsia="fr-FR"/>
        </w:rPr>
        <w:t xml:space="preserve">médecin </w:t>
      </w:r>
      <w:r w:rsidR="00A438CB" w:rsidRPr="00A66252">
        <w:rPr>
          <w:szCs w:val="24"/>
          <w:lang w:val="fr-FR" w:eastAsia="fr-FR"/>
        </w:rPr>
        <w:t xml:space="preserve">du requérant </w:t>
      </w:r>
      <w:r w:rsidR="00515AFD" w:rsidRPr="00A66252">
        <w:rPr>
          <w:szCs w:val="24"/>
          <w:lang w:val="fr-FR" w:eastAsia="fr-FR"/>
        </w:rPr>
        <w:t>et avec l</w:t>
      </w:r>
      <w:r w:rsidR="00A66252" w:rsidRPr="00A66252">
        <w:rPr>
          <w:szCs w:val="24"/>
          <w:lang w:val="fr-FR" w:eastAsia="fr-FR"/>
        </w:rPr>
        <w:t>’</w:t>
      </w:r>
      <w:r w:rsidR="00515AFD" w:rsidRPr="00A66252">
        <w:rPr>
          <w:szCs w:val="24"/>
          <w:lang w:val="fr-FR" w:eastAsia="fr-FR"/>
        </w:rPr>
        <w:t>assistance de médecins géorgiens.</w:t>
      </w:r>
      <w:r w:rsidR="005E3AF1" w:rsidRPr="00A66252">
        <w:rPr>
          <w:szCs w:val="24"/>
          <w:lang w:val="fr-FR" w:eastAsia="fr-FR"/>
        </w:rPr>
        <w:t xml:space="preserve"> De plus, dans l</w:t>
      </w:r>
      <w:r w:rsidR="00A66252" w:rsidRPr="00A66252">
        <w:rPr>
          <w:szCs w:val="24"/>
          <w:lang w:val="fr-FR" w:eastAsia="fr-FR"/>
        </w:rPr>
        <w:t>’</w:t>
      </w:r>
      <w:r w:rsidR="005E3AF1" w:rsidRPr="00A66252">
        <w:rPr>
          <w:szCs w:val="24"/>
          <w:lang w:val="fr-FR" w:eastAsia="fr-FR"/>
        </w:rPr>
        <w:t xml:space="preserve">hypothèse où une allogreffe </w:t>
      </w:r>
      <w:r w:rsidR="00A438CB" w:rsidRPr="00A66252">
        <w:rPr>
          <w:szCs w:val="24"/>
          <w:lang w:val="fr-FR" w:eastAsia="fr-FR"/>
        </w:rPr>
        <w:t>a</w:t>
      </w:r>
      <w:r w:rsidR="006C4D12" w:rsidRPr="00A66252">
        <w:rPr>
          <w:szCs w:val="24"/>
          <w:lang w:val="fr-FR" w:eastAsia="fr-FR"/>
        </w:rPr>
        <w:t>ur</w:t>
      </w:r>
      <w:r w:rsidR="00A438CB" w:rsidRPr="00A66252">
        <w:rPr>
          <w:szCs w:val="24"/>
          <w:lang w:val="fr-FR" w:eastAsia="fr-FR"/>
        </w:rPr>
        <w:t xml:space="preserve">ait pu </w:t>
      </w:r>
      <w:r w:rsidR="005E3AF1" w:rsidRPr="00A66252">
        <w:rPr>
          <w:szCs w:val="24"/>
          <w:lang w:val="fr-FR" w:eastAsia="fr-FR"/>
        </w:rPr>
        <w:t xml:space="preserve">être réalisée, le Gouvernement </w:t>
      </w:r>
      <w:r w:rsidR="005E3AF1" w:rsidRPr="00A66252">
        <w:rPr>
          <w:szCs w:val="24"/>
          <w:lang w:val="fr-FR" w:eastAsia="fr-FR"/>
        </w:rPr>
        <w:lastRenderedPageBreak/>
        <w:t>n</w:t>
      </w:r>
      <w:r w:rsidR="00A66252" w:rsidRPr="00A66252">
        <w:rPr>
          <w:szCs w:val="24"/>
          <w:lang w:val="fr-FR" w:eastAsia="fr-FR"/>
        </w:rPr>
        <w:t>’</w:t>
      </w:r>
      <w:r w:rsidR="00A438CB" w:rsidRPr="00A66252">
        <w:rPr>
          <w:szCs w:val="24"/>
          <w:lang w:val="fr-FR" w:eastAsia="fr-FR"/>
        </w:rPr>
        <w:t xml:space="preserve">aurait pris </w:t>
      </w:r>
      <w:r w:rsidR="005E3AF1" w:rsidRPr="00A66252">
        <w:rPr>
          <w:szCs w:val="24"/>
          <w:lang w:val="fr-FR" w:eastAsia="fr-FR"/>
        </w:rPr>
        <w:t>aucune disposition pour l</w:t>
      </w:r>
      <w:r w:rsidR="00A66252" w:rsidRPr="00A66252">
        <w:rPr>
          <w:szCs w:val="24"/>
          <w:lang w:val="fr-FR" w:eastAsia="fr-FR"/>
        </w:rPr>
        <w:t>’</w:t>
      </w:r>
      <w:r w:rsidR="005E3AF1" w:rsidRPr="00A66252">
        <w:rPr>
          <w:szCs w:val="24"/>
          <w:lang w:val="fr-FR" w:eastAsia="fr-FR"/>
        </w:rPr>
        <w:t>en empêcher ou éloigner le requérant alors qu</w:t>
      </w:r>
      <w:r w:rsidR="00A66252" w:rsidRPr="00A66252">
        <w:rPr>
          <w:szCs w:val="24"/>
          <w:lang w:val="fr-FR" w:eastAsia="fr-FR"/>
        </w:rPr>
        <w:t>’</w:t>
      </w:r>
      <w:r w:rsidR="005E3AF1" w:rsidRPr="00A66252">
        <w:rPr>
          <w:szCs w:val="24"/>
          <w:lang w:val="fr-FR" w:eastAsia="fr-FR"/>
        </w:rPr>
        <w:t xml:space="preserve">il </w:t>
      </w:r>
      <w:r w:rsidR="00A438CB" w:rsidRPr="00A66252">
        <w:rPr>
          <w:szCs w:val="24"/>
          <w:lang w:val="fr-FR" w:eastAsia="fr-FR"/>
        </w:rPr>
        <w:t xml:space="preserve">était </w:t>
      </w:r>
      <w:r w:rsidR="005E3AF1" w:rsidRPr="00A66252">
        <w:rPr>
          <w:szCs w:val="24"/>
          <w:lang w:val="fr-FR" w:eastAsia="fr-FR"/>
        </w:rPr>
        <w:t>à l</w:t>
      </w:r>
      <w:r w:rsidR="00A66252" w:rsidRPr="00A66252">
        <w:rPr>
          <w:szCs w:val="24"/>
          <w:lang w:val="fr-FR" w:eastAsia="fr-FR"/>
        </w:rPr>
        <w:t>’</w:t>
      </w:r>
      <w:r w:rsidR="006A1051" w:rsidRPr="00A66252">
        <w:rPr>
          <w:szCs w:val="24"/>
          <w:lang w:val="fr-FR" w:eastAsia="fr-FR"/>
        </w:rPr>
        <w:t>hôpital.</w:t>
      </w:r>
    </w:p>
    <w:p w:rsidR="00EB02C7" w:rsidRPr="00A66252" w:rsidRDefault="005969DF" w:rsidP="00A66252">
      <w:pPr>
        <w:pStyle w:val="ECHRPara"/>
        <w:rPr>
          <w:b/>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158</w:t>
      </w:r>
      <w:r w:rsidRPr="00A66252">
        <w:rPr>
          <w:lang w:val="fr-FR" w:eastAsia="fr-FR"/>
        </w:rPr>
        <w:fldChar w:fldCharType="end"/>
      </w:r>
      <w:r w:rsidRPr="00A66252">
        <w:rPr>
          <w:lang w:val="fr-FR" w:eastAsia="fr-FR"/>
        </w:rPr>
        <w:t xml:space="preserve">.  Il convient </w:t>
      </w:r>
      <w:r w:rsidR="00515AFD" w:rsidRPr="00A66252">
        <w:rPr>
          <w:lang w:val="fr-FR" w:eastAsia="fr-FR"/>
        </w:rPr>
        <w:t>enfin</w:t>
      </w:r>
      <w:r w:rsidRPr="00A66252">
        <w:rPr>
          <w:lang w:val="fr-FR" w:eastAsia="fr-FR"/>
        </w:rPr>
        <w:t xml:space="preserve"> de tenir compte du fait que l</w:t>
      </w:r>
      <w:r w:rsidR="00A66252" w:rsidRPr="00A66252">
        <w:rPr>
          <w:lang w:val="fr-FR" w:eastAsia="fr-FR"/>
        </w:rPr>
        <w:t>’</w:t>
      </w:r>
      <w:r w:rsidRPr="00A66252">
        <w:rPr>
          <w:lang w:val="fr-FR" w:eastAsia="fr-FR"/>
        </w:rPr>
        <w:t>éloignement aura</w:t>
      </w:r>
      <w:r w:rsidR="00A438CB" w:rsidRPr="00A66252">
        <w:rPr>
          <w:lang w:val="fr-FR" w:eastAsia="fr-FR"/>
        </w:rPr>
        <w:t>it eu</w:t>
      </w:r>
      <w:r w:rsidRPr="00A66252">
        <w:rPr>
          <w:lang w:val="fr-FR" w:eastAsia="fr-FR"/>
        </w:rPr>
        <w:t xml:space="preserve"> lieu vers la Géorgie, </w:t>
      </w:r>
      <w:r w:rsidR="00C22A95" w:rsidRPr="00A66252">
        <w:rPr>
          <w:lang w:val="fr-FR" w:eastAsia="fr-FR"/>
        </w:rPr>
        <w:t>É</w:t>
      </w:r>
      <w:r w:rsidRPr="00A66252">
        <w:rPr>
          <w:lang w:val="fr-FR" w:eastAsia="fr-FR"/>
        </w:rPr>
        <w:t xml:space="preserve">tat partie à la Convention, et que si le requérant </w:t>
      </w:r>
      <w:r w:rsidR="00DE5CE3" w:rsidRPr="00A66252">
        <w:rPr>
          <w:lang w:val="fr-FR" w:eastAsia="fr-FR"/>
        </w:rPr>
        <w:t xml:space="preserve">avait </w:t>
      </w:r>
      <w:r w:rsidRPr="00A66252">
        <w:rPr>
          <w:lang w:val="fr-FR" w:eastAsia="fr-FR"/>
        </w:rPr>
        <w:t>manifest</w:t>
      </w:r>
      <w:r w:rsidR="006C4D12" w:rsidRPr="00A66252">
        <w:rPr>
          <w:lang w:val="fr-FR" w:eastAsia="fr-FR"/>
        </w:rPr>
        <w:t>é</w:t>
      </w:r>
      <w:r w:rsidRPr="00A66252">
        <w:rPr>
          <w:lang w:val="fr-FR" w:eastAsia="fr-FR"/>
        </w:rPr>
        <w:t xml:space="preserve"> une vulnérabilité particulière, la responsabilité de la Belgique </w:t>
      </w:r>
      <w:r w:rsidR="006C4D12" w:rsidRPr="00A66252">
        <w:rPr>
          <w:lang w:val="fr-FR" w:eastAsia="fr-FR"/>
        </w:rPr>
        <w:t>n</w:t>
      </w:r>
      <w:r w:rsidR="00A66252" w:rsidRPr="00A66252">
        <w:rPr>
          <w:lang w:val="fr-FR" w:eastAsia="fr-FR"/>
        </w:rPr>
        <w:t>’</w:t>
      </w:r>
      <w:r w:rsidR="006C4D12" w:rsidRPr="00A66252">
        <w:rPr>
          <w:lang w:val="fr-FR" w:eastAsia="fr-FR"/>
        </w:rPr>
        <w:t xml:space="preserve">aurait pu </w:t>
      </w:r>
      <w:r w:rsidRPr="00A66252">
        <w:rPr>
          <w:lang w:val="fr-FR" w:eastAsia="fr-FR"/>
        </w:rPr>
        <w:t>être engagée que s</w:t>
      </w:r>
      <w:r w:rsidR="00A66252" w:rsidRPr="00A66252">
        <w:rPr>
          <w:lang w:val="fr-FR" w:eastAsia="fr-FR"/>
        </w:rPr>
        <w:t>’</w:t>
      </w:r>
      <w:r w:rsidRPr="00A66252">
        <w:rPr>
          <w:lang w:val="fr-FR" w:eastAsia="fr-FR"/>
        </w:rPr>
        <w:t xml:space="preserve">il </w:t>
      </w:r>
      <w:r w:rsidR="00DE5CE3" w:rsidRPr="00A66252">
        <w:rPr>
          <w:lang w:val="fr-FR" w:eastAsia="fr-FR"/>
        </w:rPr>
        <w:t xml:space="preserve">avait été </w:t>
      </w:r>
      <w:r w:rsidRPr="00A66252">
        <w:rPr>
          <w:lang w:val="fr-FR" w:eastAsia="fr-FR"/>
        </w:rPr>
        <w:t>établi que l</w:t>
      </w:r>
      <w:r w:rsidR="00A66252" w:rsidRPr="00A66252">
        <w:rPr>
          <w:lang w:val="fr-FR" w:eastAsia="fr-FR"/>
        </w:rPr>
        <w:t>’</w:t>
      </w:r>
      <w:r w:rsidR="00C22A95" w:rsidRPr="00A66252">
        <w:rPr>
          <w:lang w:val="fr-FR" w:eastAsia="fr-FR"/>
        </w:rPr>
        <w:t>É</w:t>
      </w:r>
      <w:r w:rsidRPr="00A66252">
        <w:rPr>
          <w:lang w:val="fr-FR" w:eastAsia="fr-FR"/>
        </w:rPr>
        <w:t xml:space="preserve">tat géorgien </w:t>
      </w:r>
      <w:r w:rsidR="00DE5CE3" w:rsidRPr="00A66252">
        <w:rPr>
          <w:lang w:val="fr-FR" w:eastAsia="fr-FR"/>
        </w:rPr>
        <w:t>manqu</w:t>
      </w:r>
      <w:r w:rsidR="006C4D12" w:rsidRPr="00A66252">
        <w:rPr>
          <w:lang w:val="fr-FR" w:eastAsia="fr-FR"/>
        </w:rPr>
        <w:t>erait</w:t>
      </w:r>
      <w:r w:rsidR="00DE5CE3" w:rsidRPr="00A66252">
        <w:rPr>
          <w:lang w:val="fr-FR" w:eastAsia="fr-FR"/>
        </w:rPr>
        <w:t xml:space="preserve"> </w:t>
      </w:r>
      <w:r w:rsidRPr="00A66252">
        <w:rPr>
          <w:lang w:val="fr-FR" w:eastAsia="fr-FR"/>
        </w:rPr>
        <w:t>manifestement à ses obligations en vertu de la Convention, notamment s</w:t>
      </w:r>
      <w:r w:rsidR="00A66252" w:rsidRPr="00A66252">
        <w:rPr>
          <w:lang w:val="fr-FR" w:eastAsia="fr-FR"/>
        </w:rPr>
        <w:t>’</w:t>
      </w:r>
      <w:r w:rsidRPr="00A66252">
        <w:rPr>
          <w:lang w:val="fr-FR" w:eastAsia="fr-FR"/>
        </w:rPr>
        <w:t xml:space="preserve">il </w:t>
      </w:r>
      <w:r w:rsidR="00DE5CE3" w:rsidRPr="00A66252">
        <w:rPr>
          <w:lang w:val="fr-FR" w:eastAsia="fr-FR"/>
        </w:rPr>
        <w:t xml:space="preserve">était </w:t>
      </w:r>
      <w:r w:rsidRPr="00A66252">
        <w:rPr>
          <w:lang w:val="fr-FR" w:eastAsia="fr-FR"/>
        </w:rPr>
        <w:t xml:space="preserve">avéré que le requérant </w:t>
      </w:r>
      <w:r w:rsidR="006C4D12" w:rsidRPr="00A66252">
        <w:rPr>
          <w:lang w:val="fr-FR" w:eastAsia="fr-FR"/>
        </w:rPr>
        <w:t xml:space="preserve">serait </w:t>
      </w:r>
      <w:r w:rsidRPr="00A66252">
        <w:rPr>
          <w:lang w:val="fr-FR" w:eastAsia="fr-FR"/>
        </w:rPr>
        <w:t>entièrement dépendant de l</w:t>
      </w:r>
      <w:r w:rsidR="00A66252" w:rsidRPr="00A66252">
        <w:rPr>
          <w:lang w:val="fr-FR" w:eastAsia="fr-FR"/>
        </w:rPr>
        <w:t>’</w:t>
      </w:r>
      <w:r w:rsidRPr="00A66252">
        <w:rPr>
          <w:lang w:val="fr-FR" w:eastAsia="fr-FR"/>
        </w:rPr>
        <w:t xml:space="preserve">assistance publique et se </w:t>
      </w:r>
      <w:r w:rsidR="00DE5CE3" w:rsidRPr="00A66252">
        <w:rPr>
          <w:lang w:val="fr-FR" w:eastAsia="fr-FR"/>
        </w:rPr>
        <w:t xml:space="preserve">serait </w:t>
      </w:r>
      <w:r w:rsidRPr="00A66252">
        <w:rPr>
          <w:lang w:val="fr-FR" w:eastAsia="fr-FR"/>
        </w:rPr>
        <w:t>trouv</w:t>
      </w:r>
      <w:r w:rsidR="00DE5CE3" w:rsidRPr="00A66252">
        <w:rPr>
          <w:lang w:val="fr-FR" w:eastAsia="fr-FR"/>
        </w:rPr>
        <w:t>é</w:t>
      </w:r>
      <w:r w:rsidRPr="00A66252">
        <w:rPr>
          <w:lang w:val="fr-FR" w:eastAsia="fr-FR"/>
        </w:rPr>
        <w:t xml:space="preserve"> dans une situation de privation contraire à la dignité humaine. En l</w:t>
      </w:r>
      <w:r w:rsidR="00A66252" w:rsidRPr="00A66252">
        <w:rPr>
          <w:lang w:val="fr-FR" w:eastAsia="fr-FR"/>
        </w:rPr>
        <w:t>’</w:t>
      </w:r>
      <w:r w:rsidRPr="00A66252">
        <w:rPr>
          <w:lang w:val="fr-FR" w:eastAsia="fr-FR"/>
        </w:rPr>
        <w:t>absence de toute indication dans ce sens, il y a</w:t>
      </w:r>
      <w:r w:rsidR="006C4D12" w:rsidRPr="00A66252">
        <w:rPr>
          <w:lang w:val="fr-FR" w:eastAsia="fr-FR"/>
        </w:rPr>
        <w:t>vait</w:t>
      </w:r>
      <w:r w:rsidRPr="00A66252">
        <w:rPr>
          <w:lang w:val="fr-FR" w:eastAsia="fr-FR"/>
        </w:rPr>
        <w:t xml:space="preserve"> lieu de considérer que les autorités géorgiennes</w:t>
      </w:r>
      <w:r w:rsidR="00DE5CE3" w:rsidRPr="00A66252">
        <w:rPr>
          <w:lang w:val="fr-FR" w:eastAsia="fr-FR"/>
        </w:rPr>
        <w:t xml:space="preserve"> respect</w:t>
      </w:r>
      <w:r w:rsidR="006C4D12" w:rsidRPr="00A66252">
        <w:rPr>
          <w:lang w:val="fr-FR" w:eastAsia="fr-FR"/>
        </w:rPr>
        <w:t>eraient</w:t>
      </w:r>
      <w:r w:rsidR="00DE5CE3" w:rsidRPr="00A66252">
        <w:rPr>
          <w:lang w:val="fr-FR" w:eastAsia="fr-FR"/>
        </w:rPr>
        <w:t xml:space="preserve"> </w:t>
      </w:r>
      <w:r w:rsidRPr="00A66252">
        <w:rPr>
          <w:lang w:val="fr-FR" w:eastAsia="fr-FR"/>
        </w:rPr>
        <w:t xml:space="preserve">la Convention et, </w:t>
      </w:r>
      <w:r w:rsidR="006C4D12" w:rsidRPr="00A66252">
        <w:rPr>
          <w:lang w:val="fr-FR" w:eastAsia="fr-FR"/>
        </w:rPr>
        <w:t xml:space="preserve">dans le </w:t>
      </w:r>
      <w:r w:rsidRPr="00A66252">
        <w:rPr>
          <w:lang w:val="fr-FR" w:eastAsia="fr-FR"/>
        </w:rPr>
        <w:t>cas</w:t>
      </w:r>
      <w:r w:rsidR="006C4D12" w:rsidRPr="00A66252">
        <w:rPr>
          <w:lang w:val="fr-FR" w:eastAsia="fr-FR"/>
        </w:rPr>
        <w:t xml:space="preserve"> contraire</w:t>
      </w:r>
      <w:r w:rsidRPr="00A66252">
        <w:rPr>
          <w:lang w:val="fr-FR" w:eastAsia="fr-FR"/>
        </w:rPr>
        <w:t xml:space="preserve">, il </w:t>
      </w:r>
      <w:r w:rsidR="00DE5CE3" w:rsidRPr="00A66252">
        <w:rPr>
          <w:lang w:val="fr-FR" w:eastAsia="fr-FR"/>
        </w:rPr>
        <w:t xml:space="preserve">aurait appartenu </w:t>
      </w:r>
      <w:r w:rsidRPr="00A66252">
        <w:rPr>
          <w:lang w:val="fr-FR" w:eastAsia="fr-FR"/>
        </w:rPr>
        <w:t>au requérant de saisir la Cour sur la base de l</w:t>
      </w:r>
      <w:r w:rsidR="00A66252" w:rsidRPr="00A66252">
        <w:rPr>
          <w:lang w:val="fr-FR" w:eastAsia="fr-FR"/>
        </w:rPr>
        <w:t>’</w:t>
      </w:r>
      <w:r w:rsidRPr="00A66252">
        <w:rPr>
          <w:lang w:val="fr-FR" w:eastAsia="fr-FR"/>
        </w:rPr>
        <w:t>article 34 de la Convention.</w:t>
      </w:r>
    </w:p>
    <w:p w:rsidR="00B37859" w:rsidRPr="00A66252" w:rsidRDefault="00AE45E5" w:rsidP="00A66252">
      <w:pPr>
        <w:pStyle w:val="ECHRHeading2"/>
        <w:rPr>
          <w:lang w:val="fr-FR" w:eastAsia="fr-FR"/>
        </w:rPr>
      </w:pPr>
      <w:r w:rsidRPr="00A66252">
        <w:rPr>
          <w:lang w:val="fr-FR" w:eastAsia="fr-FR"/>
        </w:rPr>
        <w:t>C.  </w:t>
      </w:r>
      <w:r w:rsidR="00B37859" w:rsidRPr="00A66252">
        <w:rPr>
          <w:lang w:val="fr-FR" w:eastAsia="fr-FR"/>
        </w:rPr>
        <w:t>Les observations des tiers-intervenants</w:t>
      </w:r>
    </w:p>
    <w:p w:rsidR="00B37859" w:rsidRPr="00A66252" w:rsidRDefault="00C93FE5" w:rsidP="00A66252">
      <w:pPr>
        <w:pStyle w:val="ECHRHeading3"/>
        <w:rPr>
          <w:lang w:val="fr-FR" w:eastAsia="fr-FR"/>
        </w:rPr>
      </w:pPr>
      <w:r w:rsidRPr="00A66252">
        <w:rPr>
          <w:lang w:val="fr-FR" w:eastAsia="fr-FR"/>
        </w:rPr>
        <w:t>1.  L</w:t>
      </w:r>
      <w:r w:rsidR="00B37859" w:rsidRPr="00A66252">
        <w:rPr>
          <w:lang w:val="fr-FR" w:eastAsia="fr-FR"/>
        </w:rPr>
        <w:t>e Gouvernement géorgien</w:t>
      </w:r>
    </w:p>
    <w:bookmarkStart w:id="34" w:name="OBSGEOSTART"/>
    <w:p w:rsidR="004735FF" w:rsidRPr="00A66252" w:rsidRDefault="00B37859" w:rsidP="00A66252">
      <w:pPr>
        <w:pStyle w:val="ECHRPara"/>
        <w:ind w:firstLine="232"/>
        <w:rPr>
          <w:szCs w:val="24"/>
          <w:lang w:val="fr-FR" w:eastAsia="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159</w:t>
      </w:r>
      <w:r w:rsidRPr="00A66252">
        <w:rPr>
          <w:szCs w:val="24"/>
          <w:lang w:val="fr-FR" w:eastAsia="fr-FR"/>
        </w:rPr>
        <w:fldChar w:fldCharType="end"/>
      </w:r>
      <w:bookmarkEnd w:id="34"/>
      <w:r w:rsidRPr="00A66252">
        <w:rPr>
          <w:szCs w:val="24"/>
          <w:lang w:val="fr-FR" w:eastAsia="fr-FR"/>
        </w:rPr>
        <w:t>.  </w:t>
      </w:r>
      <w:r w:rsidR="00980C3B" w:rsidRPr="00A66252">
        <w:rPr>
          <w:szCs w:val="24"/>
          <w:lang w:val="fr-FR" w:eastAsia="fr-FR"/>
        </w:rPr>
        <w:t>Le Gouvernement géorgien explique que</w:t>
      </w:r>
      <w:r w:rsidR="004735FF" w:rsidRPr="00A66252">
        <w:rPr>
          <w:szCs w:val="24"/>
          <w:lang w:val="fr-FR" w:eastAsia="fr-FR"/>
        </w:rPr>
        <w:t>,</w:t>
      </w:r>
      <w:r w:rsidR="00980C3B" w:rsidRPr="00A66252">
        <w:rPr>
          <w:szCs w:val="24"/>
          <w:lang w:val="fr-FR" w:eastAsia="fr-FR"/>
        </w:rPr>
        <w:t xml:space="preserve"> </w:t>
      </w:r>
      <w:r w:rsidR="004735FF" w:rsidRPr="00A66252">
        <w:rPr>
          <w:szCs w:val="24"/>
          <w:lang w:val="fr-FR" w:eastAsia="fr-FR"/>
        </w:rPr>
        <w:t>depuis 2012, il a mené à bien la mise en place d</w:t>
      </w:r>
      <w:r w:rsidR="00A66252" w:rsidRPr="00A66252">
        <w:rPr>
          <w:szCs w:val="24"/>
          <w:lang w:val="fr-FR" w:eastAsia="fr-FR"/>
        </w:rPr>
        <w:t>’</w:t>
      </w:r>
      <w:r w:rsidR="004735FF" w:rsidRPr="00A66252">
        <w:rPr>
          <w:szCs w:val="24"/>
          <w:lang w:val="fr-FR" w:eastAsia="fr-FR"/>
        </w:rPr>
        <w:t xml:space="preserve">un vaste programme de </w:t>
      </w:r>
      <w:r w:rsidR="00C538E5" w:rsidRPr="00A66252">
        <w:rPr>
          <w:szCs w:val="24"/>
          <w:lang w:val="fr-FR" w:eastAsia="fr-FR"/>
        </w:rPr>
        <w:t xml:space="preserve">couverture médicale universelle </w:t>
      </w:r>
      <w:r w:rsidR="004735FF" w:rsidRPr="00A66252">
        <w:rPr>
          <w:szCs w:val="24"/>
          <w:lang w:val="fr-FR" w:eastAsia="fr-FR"/>
        </w:rPr>
        <w:t>qui permet à ce jour de couvrir 90 % de la population en termes de soins de santé primaires</w:t>
      </w:r>
      <w:r w:rsidR="002A1536" w:rsidRPr="00A66252">
        <w:rPr>
          <w:szCs w:val="24"/>
          <w:lang w:val="fr-FR" w:eastAsia="fr-FR"/>
        </w:rPr>
        <w:t>. Dans l</w:t>
      </w:r>
      <w:r w:rsidR="00A66252" w:rsidRPr="00A66252">
        <w:rPr>
          <w:szCs w:val="24"/>
          <w:lang w:val="fr-FR" w:eastAsia="fr-FR"/>
        </w:rPr>
        <w:t>’</w:t>
      </w:r>
      <w:r w:rsidR="002A1536" w:rsidRPr="00A66252">
        <w:rPr>
          <w:szCs w:val="24"/>
          <w:lang w:val="fr-FR" w:eastAsia="fr-FR"/>
        </w:rPr>
        <w:t xml:space="preserve">hypothèse où le requérant </w:t>
      </w:r>
      <w:r w:rsidR="004D08D2" w:rsidRPr="00A66252">
        <w:rPr>
          <w:szCs w:val="24"/>
          <w:lang w:val="fr-FR" w:eastAsia="fr-FR"/>
        </w:rPr>
        <w:t>serait</w:t>
      </w:r>
      <w:r w:rsidR="002A1536" w:rsidRPr="00A66252">
        <w:rPr>
          <w:szCs w:val="24"/>
          <w:lang w:val="fr-FR" w:eastAsia="fr-FR"/>
        </w:rPr>
        <w:t xml:space="preserve"> reven</w:t>
      </w:r>
      <w:r w:rsidR="00F7184B" w:rsidRPr="00A66252">
        <w:rPr>
          <w:szCs w:val="24"/>
          <w:lang w:val="fr-FR" w:eastAsia="fr-FR"/>
        </w:rPr>
        <w:t>u</w:t>
      </w:r>
      <w:r w:rsidR="002A1536" w:rsidRPr="00A66252">
        <w:rPr>
          <w:szCs w:val="24"/>
          <w:lang w:val="fr-FR" w:eastAsia="fr-FR"/>
        </w:rPr>
        <w:t xml:space="preserve"> en Géorgie</w:t>
      </w:r>
      <w:r w:rsidR="004D08D2" w:rsidRPr="00A66252">
        <w:rPr>
          <w:szCs w:val="24"/>
          <w:lang w:val="fr-FR" w:eastAsia="fr-FR"/>
        </w:rPr>
        <w:t>,</w:t>
      </w:r>
      <w:r w:rsidR="002A1536" w:rsidRPr="00A66252">
        <w:rPr>
          <w:szCs w:val="24"/>
          <w:lang w:val="fr-FR" w:eastAsia="fr-FR"/>
        </w:rPr>
        <w:t xml:space="preserve"> il aurait </w:t>
      </w:r>
      <w:r w:rsidR="00F7184B" w:rsidRPr="00A66252">
        <w:rPr>
          <w:szCs w:val="24"/>
          <w:lang w:val="fr-FR" w:eastAsia="fr-FR"/>
        </w:rPr>
        <w:t xml:space="preserve">eu </w:t>
      </w:r>
      <w:r w:rsidR="002A1536" w:rsidRPr="00A66252">
        <w:rPr>
          <w:szCs w:val="24"/>
          <w:lang w:val="fr-FR" w:eastAsia="fr-FR"/>
        </w:rPr>
        <w:t>accès</w:t>
      </w:r>
      <w:r w:rsidR="004735FF" w:rsidRPr="00A66252">
        <w:rPr>
          <w:szCs w:val="24"/>
          <w:lang w:val="fr-FR" w:eastAsia="fr-FR"/>
        </w:rPr>
        <w:t xml:space="preserve"> </w:t>
      </w:r>
      <w:r w:rsidR="002A1536" w:rsidRPr="00A66252">
        <w:rPr>
          <w:szCs w:val="24"/>
          <w:lang w:val="fr-FR" w:eastAsia="fr-FR"/>
        </w:rPr>
        <w:t xml:space="preserve">à cette couverture universelle de la même manière que les </w:t>
      </w:r>
      <w:r w:rsidR="00932DA2" w:rsidRPr="00A66252">
        <w:rPr>
          <w:szCs w:val="24"/>
          <w:lang w:val="fr-FR" w:eastAsia="fr-FR"/>
        </w:rPr>
        <w:t>résid</w:t>
      </w:r>
      <w:r w:rsidR="004D08D2" w:rsidRPr="00A66252">
        <w:rPr>
          <w:szCs w:val="24"/>
          <w:lang w:val="fr-FR" w:eastAsia="fr-FR"/>
        </w:rPr>
        <w:t>e</w:t>
      </w:r>
      <w:r w:rsidR="00932DA2" w:rsidRPr="00A66252">
        <w:rPr>
          <w:szCs w:val="24"/>
          <w:lang w:val="fr-FR" w:eastAsia="fr-FR"/>
        </w:rPr>
        <w:t>nts</w:t>
      </w:r>
      <w:r w:rsidR="002A1536" w:rsidRPr="00A66252">
        <w:rPr>
          <w:szCs w:val="24"/>
          <w:lang w:val="fr-FR" w:eastAsia="fr-FR"/>
        </w:rPr>
        <w:t>.</w:t>
      </w:r>
    </w:p>
    <w:p w:rsidR="00980C3B" w:rsidRPr="00A66252" w:rsidRDefault="002A1536" w:rsidP="00A66252">
      <w:pPr>
        <w:pStyle w:val="ECHRPara"/>
        <w:ind w:firstLine="232"/>
        <w:rPr>
          <w:szCs w:val="24"/>
          <w:lang w:val="fr-FR" w:eastAsia="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160</w:t>
      </w:r>
      <w:r w:rsidRPr="00A66252">
        <w:rPr>
          <w:szCs w:val="24"/>
          <w:lang w:val="fr-FR" w:eastAsia="fr-FR"/>
        </w:rPr>
        <w:fldChar w:fldCharType="end"/>
      </w:r>
      <w:r w:rsidRPr="00A66252">
        <w:rPr>
          <w:szCs w:val="24"/>
          <w:lang w:val="fr-FR" w:eastAsia="fr-FR"/>
        </w:rPr>
        <w:t>.  De plus, l</w:t>
      </w:r>
      <w:r w:rsidR="004735FF" w:rsidRPr="00A66252">
        <w:rPr>
          <w:szCs w:val="24"/>
          <w:lang w:val="fr-FR" w:eastAsia="fr-FR"/>
        </w:rPr>
        <w:t xml:space="preserve">e système de soins de santé géorgien </w:t>
      </w:r>
      <w:r w:rsidR="00980C3B" w:rsidRPr="00A66252">
        <w:rPr>
          <w:szCs w:val="24"/>
          <w:lang w:val="fr-FR" w:eastAsia="fr-FR"/>
        </w:rPr>
        <w:t xml:space="preserve">peut fournir des soins adéquats pour les </w:t>
      </w:r>
      <w:r w:rsidR="00B03C2E" w:rsidRPr="00A66252">
        <w:rPr>
          <w:szCs w:val="24"/>
          <w:lang w:val="fr-FR" w:eastAsia="fr-FR"/>
        </w:rPr>
        <w:t>pathologies</w:t>
      </w:r>
      <w:r w:rsidR="00980C3B" w:rsidRPr="00A66252">
        <w:rPr>
          <w:szCs w:val="24"/>
          <w:lang w:val="fr-FR" w:eastAsia="fr-FR"/>
        </w:rPr>
        <w:t xml:space="preserve"> dont souffr</w:t>
      </w:r>
      <w:r w:rsidR="004D08D2" w:rsidRPr="00A66252">
        <w:rPr>
          <w:szCs w:val="24"/>
          <w:lang w:val="fr-FR" w:eastAsia="fr-FR"/>
        </w:rPr>
        <w:t>ait</w:t>
      </w:r>
      <w:r w:rsidR="00980C3B" w:rsidRPr="00A66252">
        <w:rPr>
          <w:szCs w:val="24"/>
          <w:lang w:val="fr-FR" w:eastAsia="fr-FR"/>
        </w:rPr>
        <w:t xml:space="preserve"> le requérant en termes </w:t>
      </w:r>
      <w:r w:rsidR="00500EF8" w:rsidRPr="00A66252">
        <w:rPr>
          <w:szCs w:val="24"/>
          <w:lang w:val="fr-FR" w:eastAsia="fr-FR"/>
        </w:rPr>
        <w:t xml:space="preserve">tant </w:t>
      </w:r>
      <w:r w:rsidR="00980C3B" w:rsidRPr="00A66252">
        <w:rPr>
          <w:szCs w:val="24"/>
          <w:lang w:val="fr-FR" w:eastAsia="fr-FR"/>
        </w:rPr>
        <w:t>d</w:t>
      </w:r>
      <w:r w:rsidR="00A66252" w:rsidRPr="00A66252">
        <w:rPr>
          <w:szCs w:val="24"/>
          <w:lang w:val="fr-FR" w:eastAsia="fr-FR"/>
        </w:rPr>
        <w:t>’</w:t>
      </w:r>
      <w:r w:rsidR="00980C3B" w:rsidRPr="00A66252">
        <w:rPr>
          <w:szCs w:val="24"/>
          <w:lang w:val="fr-FR" w:eastAsia="fr-FR"/>
        </w:rPr>
        <w:t>infrastructures médicales que de professionnels de la santé. Les soins dispensés sont conformes aux nor</w:t>
      </w:r>
      <w:r w:rsidR="00485F04" w:rsidRPr="00A66252">
        <w:rPr>
          <w:szCs w:val="24"/>
          <w:lang w:val="fr-FR" w:eastAsia="fr-FR"/>
        </w:rPr>
        <w:t>mes internationales et approuvé</w:t>
      </w:r>
      <w:r w:rsidR="00980C3B" w:rsidRPr="00A66252">
        <w:rPr>
          <w:szCs w:val="24"/>
          <w:lang w:val="fr-FR" w:eastAsia="fr-FR"/>
        </w:rPr>
        <w:t>s par la règlementation interne.</w:t>
      </w:r>
    </w:p>
    <w:p w:rsidR="00980C3B" w:rsidRPr="00A66252" w:rsidRDefault="00980C3B" w:rsidP="00A66252">
      <w:pPr>
        <w:pStyle w:val="ECHRPara"/>
        <w:ind w:firstLine="232"/>
        <w:rPr>
          <w:szCs w:val="24"/>
          <w:lang w:val="fr-FR" w:eastAsia="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161</w:t>
      </w:r>
      <w:r w:rsidRPr="00A66252">
        <w:rPr>
          <w:szCs w:val="24"/>
          <w:lang w:val="fr-FR" w:eastAsia="fr-FR"/>
        </w:rPr>
        <w:fldChar w:fldCharType="end"/>
      </w:r>
      <w:r w:rsidRPr="00A66252">
        <w:rPr>
          <w:szCs w:val="24"/>
          <w:lang w:val="fr-FR" w:eastAsia="fr-FR"/>
        </w:rPr>
        <w:t>.  En ce qui concerne la prise en charge de la tuberculose, un programme étatique de gestion de la tuberculose a été approuvé par arrêté n</w:t>
      </w:r>
      <w:r w:rsidR="009472B8" w:rsidRPr="00A66252">
        <w:rPr>
          <w:szCs w:val="24"/>
          <w:vertAlign w:val="superscript"/>
          <w:lang w:val="fr-FR" w:eastAsia="fr-FR"/>
        </w:rPr>
        <w:t>o</w:t>
      </w:r>
      <w:r w:rsidR="006A1051" w:rsidRPr="00A66252">
        <w:rPr>
          <w:szCs w:val="24"/>
          <w:lang w:val="fr-FR" w:eastAsia="fr-FR"/>
        </w:rPr>
        <w:t> </w:t>
      </w:r>
      <w:r w:rsidRPr="00A66252">
        <w:rPr>
          <w:szCs w:val="24"/>
          <w:lang w:val="fr-FR" w:eastAsia="fr-FR"/>
        </w:rPr>
        <w:t>650 du 2 décembre 2014 qui prévoit la gratuité des examens et des médicaments liés à la tuberculose pour les citoyens géorgiens, les apatrides résid</w:t>
      </w:r>
      <w:r w:rsidR="00500EF8" w:rsidRPr="00A66252">
        <w:rPr>
          <w:szCs w:val="24"/>
          <w:lang w:val="fr-FR" w:eastAsia="fr-FR"/>
        </w:rPr>
        <w:t>a</w:t>
      </w:r>
      <w:r w:rsidRPr="00A66252">
        <w:rPr>
          <w:szCs w:val="24"/>
          <w:lang w:val="fr-FR" w:eastAsia="fr-FR"/>
        </w:rPr>
        <w:t>nt en Géorgie, les détenus et toute personne identifiée comme porteuse de la tuberculose dans le pays.</w:t>
      </w:r>
      <w:r w:rsidR="00B03C2E" w:rsidRPr="00A66252">
        <w:rPr>
          <w:szCs w:val="24"/>
          <w:lang w:val="fr-FR" w:eastAsia="fr-FR"/>
        </w:rPr>
        <w:t xml:space="preserve"> De nouveaux traitements expérimentaux anti-tuberculose ont été introduits en Géorgie depuis plusieurs années et sont </w:t>
      </w:r>
      <w:r w:rsidR="004D08D2" w:rsidRPr="00A66252">
        <w:rPr>
          <w:szCs w:val="24"/>
          <w:lang w:val="fr-FR" w:eastAsia="fr-FR"/>
        </w:rPr>
        <w:t xml:space="preserve">disponibles </w:t>
      </w:r>
      <w:r w:rsidR="00B03C2E" w:rsidRPr="00A66252">
        <w:rPr>
          <w:szCs w:val="24"/>
          <w:lang w:val="fr-FR" w:eastAsia="fr-FR"/>
        </w:rPr>
        <w:t xml:space="preserve">en </w:t>
      </w:r>
      <w:r w:rsidR="00485F04" w:rsidRPr="00A66252">
        <w:rPr>
          <w:szCs w:val="24"/>
          <w:lang w:val="fr-FR" w:eastAsia="fr-FR"/>
        </w:rPr>
        <w:t>quantité</w:t>
      </w:r>
      <w:r w:rsidR="00B03C2E" w:rsidRPr="00A66252">
        <w:rPr>
          <w:szCs w:val="24"/>
          <w:lang w:val="fr-FR" w:eastAsia="fr-FR"/>
        </w:rPr>
        <w:t xml:space="preserve"> suffisante sur le marché. Le requérant </w:t>
      </w:r>
      <w:r w:rsidR="004D08D2" w:rsidRPr="00A66252">
        <w:rPr>
          <w:szCs w:val="24"/>
          <w:lang w:val="fr-FR" w:eastAsia="fr-FR"/>
        </w:rPr>
        <w:t>aurait pu</w:t>
      </w:r>
      <w:r w:rsidR="00B03C2E" w:rsidRPr="00A66252">
        <w:rPr>
          <w:szCs w:val="24"/>
          <w:lang w:val="fr-FR" w:eastAsia="fr-FR"/>
        </w:rPr>
        <w:t xml:space="preserve"> en bénéficier.</w:t>
      </w:r>
    </w:p>
    <w:p w:rsidR="00980C3B" w:rsidRPr="00A66252" w:rsidRDefault="00980C3B" w:rsidP="00A66252">
      <w:pPr>
        <w:pStyle w:val="ECHRPara"/>
        <w:ind w:firstLine="232"/>
        <w:rPr>
          <w:szCs w:val="24"/>
          <w:lang w:val="fr-FR" w:eastAsia="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162</w:t>
      </w:r>
      <w:r w:rsidRPr="00A66252">
        <w:rPr>
          <w:szCs w:val="24"/>
          <w:lang w:val="fr-FR" w:eastAsia="fr-FR"/>
        </w:rPr>
        <w:fldChar w:fldCharType="end"/>
      </w:r>
      <w:r w:rsidRPr="00A66252">
        <w:rPr>
          <w:szCs w:val="24"/>
          <w:lang w:val="fr-FR" w:eastAsia="fr-FR"/>
        </w:rPr>
        <w:t>.  </w:t>
      </w:r>
      <w:r w:rsidR="004735FF" w:rsidRPr="00A66252">
        <w:rPr>
          <w:szCs w:val="24"/>
          <w:lang w:val="fr-FR" w:eastAsia="fr-FR"/>
        </w:rPr>
        <w:t>En ce qui concerne la</w:t>
      </w:r>
      <w:r w:rsidR="006A1051" w:rsidRPr="00A66252">
        <w:rPr>
          <w:szCs w:val="24"/>
          <w:lang w:val="fr-FR" w:eastAsia="fr-FR"/>
        </w:rPr>
        <w:t xml:space="preserve"> </w:t>
      </w:r>
      <w:r w:rsidRPr="00A66252">
        <w:rPr>
          <w:szCs w:val="24"/>
          <w:lang w:val="fr-FR" w:eastAsia="fr-FR"/>
        </w:rPr>
        <w:t xml:space="preserve">leucémie, le Gouvernement géorgien </w:t>
      </w:r>
      <w:r w:rsidR="00666DF9" w:rsidRPr="00A66252">
        <w:rPr>
          <w:szCs w:val="24"/>
          <w:lang w:val="fr-FR" w:eastAsia="fr-FR"/>
        </w:rPr>
        <w:t xml:space="preserve">explique </w:t>
      </w:r>
      <w:r w:rsidR="00485F04" w:rsidRPr="00A66252">
        <w:rPr>
          <w:szCs w:val="24"/>
          <w:lang w:val="fr-FR" w:eastAsia="fr-FR"/>
        </w:rPr>
        <w:t xml:space="preserve">que </w:t>
      </w:r>
      <w:r w:rsidR="00666DF9" w:rsidRPr="00A66252">
        <w:rPr>
          <w:szCs w:val="24"/>
          <w:lang w:val="fr-FR" w:eastAsia="fr-FR"/>
        </w:rPr>
        <w:t>le programme de couverture médicale universelle couvr</w:t>
      </w:r>
      <w:r w:rsidR="00500EF8" w:rsidRPr="00A66252">
        <w:rPr>
          <w:szCs w:val="24"/>
          <w:lang w:val="fr-FR" w:eastAsia="fr-FR"/>
        </w:rPr>
        <w:t>e, pour les personnes vivant en-</w:t>
      </w:r>
      <w:r w:rsidR="00666DF9" w:rsidRPr="00A66252">
        <w:rPr>
          <w:szCs w:val="24"/>
          <w:lang w:val="fr-FR" w:eastAsia="fr-FR"/>
        </w:rPr>
        <w:t xml:space="preserve">dessous du seuil de pauvreté qui souffrent de </w:t>
      </w:r>
      <w:r w:rsidRPr="00A66252">
        <w:rPr>
          <w:szCs w:val="24"/>
          <w:lang w:val="fr-FR" w:eastAsia="fr-FR"/>
        </w:rPr>
        <w:t xml:space="preserve">pathologies oncologiques, </w:t>
      </w:r>
      <w:r w:rsidR="00666DF9" w:rsidRPr="00A66252">
        <w:rPr>
          <w:szCs w:val="24"/>
          <w:lang w:val="fr-FR" w:eastAsia="fr-FR"/>
        </w:rPr>
        <w:t>les</w:t>
      </w:r>
      <w:r w:rsidRPr="00A66252">
        <w:rPr>
          <w:szCs w:val="24"/>
          <w:lang w:val="fr-FR" w:eastAsia="fr-FR"/>
        </w:rPr>
        <w:t xml:space="preserve"> diagnostics, </w:t>
      </w:r>
      <w:r w:rsidR="00666DF9" w:rsidRPr="00A66252">
        <w:rPr>
          <w:szCs w:val="24"/>
          <w:lang w:val="fr-FR" w:eastAsia="fr-FR"/>
        </w:rPr>
        <w:t xml:space="preserve">les </w:t>
      </w:r>
      <w:r w:rsidRPr="00A66252">
        <w:rPr>
          <w:szCs w:val="24"/>
          <w:lang w:val="fr-FR" w:eastAsia="fr-FR"/>
        </w:rPr>
        <w:t>traitements, y compris la chimiothérapie</w:t>
      </w:r>
      <w:r w:rsidR="00666DF9" w:rsidRPr="00A66252">
        <w:rPr>
          <w:szCs w:val="24"/>
          <w:lang w:val="fr-FR" w:eastAsia="fr-FR"/>
        </w:rPr>
        <w:t xml:space="preserve"> et</w:t>
      </w:r>
      <w:r w:rsidRPr="00A66252">
        <w:rPr>
          <w:szCs w:val="24"/>
          <w:lang w:val="fr-FR" w:eastAsia="fr-FR"/>
        </w:rPr>
        <w:t xml:space="preserve"> la radiothérapie, </w:t>
      </w:r>
      <w:r w:rsidR="00666DF9" w:rsidRPr="00A66252">
        <w:rPr>
          <w:szCs w:val="24"/>
          <w:lang w:val="fr-FR" w:eastAsia="fr-FR"/>
        </w:rPr>
        <w:t xml:space="preserve">les </w:t>
      </w:r>
      <w:r w:rsidRPr="00A66252">
        <w:rPr>
          <w:szCs w:val="24"/>
          <w:lang w:val="fr-FR" w:eastAsia="fr-FR"/>
        </w:rPr>
        <w:t>examens médicaux et</w:t>
      </w:r>
      <w:r w:rsidR="00666DF9" w:rsidRPr="00A66252">
        <w:rPr>
          <w:szCs w:val="24"/>
          <w:lang w:val="fr-FR" w:eastAsia="fr-FR"/>
        </w:rPr>
        <w:t xml:space="preserve"> les</w:t>
      </w:r>
      <w:r w:rsidRPr="00A66252">
        <w:rPr>
          <w:szCs w:val="24"/>
          <w:lang w:val="fr-FR" w:eastAsia="fr-FR"/>
        </w:rPr>
        <w:t xml:space="preserve"> médicaments. </w:t>
      </w:r>
      <w:r w:rsidR="00666DF9" w:rsidRPr="00A66252">
        <w:rPr>
          <w:szCs w:val="24"/>
          <w:lang w:val="fr-FR" w:eastAsia="fr-FR"/>
        </w:rPr>
        <w:t>En</w:t>
      </w:r>
      <w:r w:rsidR="004D08D2" w:rsidRPr="00A66252">
        <w:rPr>
          <w:szCs w:val="24"/>
          <w:lang w:val="fr-FR" w:eastAsia="fr-FR"/>
        </w:rPr>
        <w:t>tre</w:t>
      </w:r>
      <w:r w:rsidR="00666DF9" w:rsidRPr="00A66252">
        <w:rPr>
          <w:szCs w:val="24"/>
          <w:lang w:val="fr-FR" w:eastAsia="fr-FR"/>
        </w:rPr>
        <w:t xml:space="preserve"> 2013</w:t>
      </w:r>
      <w:r w:rsidR="004D08D2" w:rsidRPr="00A66252">
        <w:rPr>
          <w:szCs w:val="24"/>
          <w:lang w:val="fr-FR" w:eastAsia="fr-FR"/>
        </w:rPr>
        <w:t xml:space="preserve"> et </w:t>
      </w:r>
      <w:r w:rsidR="0077193F" w:rsidRPr="00A66252">
        <w:rPr>
          <w:szCs w:val="24"/>
          <w:lang w:val="fr-FR" w:eastAsia="fr-FR"/>
        </w:rPr>
        <w:t xml:space="preserve">2015, 859 patients souffrant de </w:t>
      </w:r>
      <w:r w:rsidR="001148EB" w:rsidRPr="00A66252">
        <w:rPr>
          <w:lang w:val="fr-FR"/>
        </w:rPr>
        <w:t xml:space="preserve">leucémie </w:t>
      </w:r>
      <w:r w:rsidR="001148EB" w:rsidRPr="00A66252">
        <w:rPr>
          <w:lang w:val="fr-FR"/>
        </w:rPr>
        <w:lastRenderedPageBreak/>
        <w:t>lympho</w:t>
      </w:r>
      <w:r w:rsidR="00485F04" w:rsidRPr="00A66252">
        <w:rPr>
          <w:lang w:val="fr-FR"/>
        </w:rPr>
        <w:t xml:space="preserve">ïde chronique </w:t>
      </w:r>
      <w:r w:rsidR="004D08D2" w:rsidRPr="00A66252">
        <w:rPr>
          <w:szCs w:val="24"/>
          <w:lang w:val="fr-FR" w:eastAsia="fr-FR"/>
        </w:rPr>
        <w:t>ont bénéficié</w:t>
      </w:r>
      <w:r w:rsidR="0077193F" w:rsidRPr="00A66252">
        <w:rPr>
          <w:szCs w:val="24"/>
          <w:lang w:val="fr-FR" w:eastAsia="fr-FR"/>
        </w:rPr>
        <w:t xml:space="preserve"> de traitements chimiothérapiques spécialisés. Ces traitements sont fournis dans cinq cliniques en Géorgie </w:t>
      </w:r>
      <w:r w:rsidR="00485F04" w:rsidRPr="00A66252">
        <w:rPr>
          <w:szCs w:val="24"/>
          <w:lang w:val="fr-FR" w:eastAsia="fr-FR"/>
        </w:rPr>
        <w:t>qui</w:t>
      </w:r>
      <w:r w:rsidR="0077193F" w:rsidRPr="00A66252">
        <w:rPr>
          <w:szCs w:val="24"/>
          <w:lang w:val="fr-FR" w:eastAsia="fr-FR"/>
        </w:rPr>
        <w:t xml:space="preserve"> sont équipées de toutes les facilités médicales modernes.</w:t>
      </w:r>
    </w:p>
    <w:p w:rsidR="00980C3B" w:rsidRPr="00A66252" w:rsidRDefault="00980C3B"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163</w:t>
      </w:r>
      <w:r w:rsidRPr="00A66252">
        <w:rPr>
          <w:lang w:val="fr-FR" w:eastAsia="fr-FR"/>
        </w:rPr>
        <w:fldChar w:fldCharType="end"/>
      </w:r>
      <w:r w:rsidRPr="00A66252">
        <w:rPr>
          <w:lang w:val="fr-FR" w:eastAsia="fr-FR"/>
        </w:rPr>
        <w:t>.  Les principales améliorations par rapport aux informations fournies devant la chambre concernent l</w:t>
      </w:r>
      <w:r w:rsidR="00A66252" w:rsidRPr="00A66252">
        <w:rPr>
          <w:lang w:val="fr-FR" w:eastAsia="fr-FR"/>
        </w:rPr>
        <w:t>’</w:t>
      </w:r>
      <w:r w:rsidRPr="00A66252">
        <w:rPr>
          <w:lang w:val="fr-FR" w:eastAsia="fr-FR"/>
        </w:rPr>
        <w:t>hépatite C. Alors qu</w:t>
      </w:r>
      <w:r w:rsidR="00A66252" w:rsidRPr="00A66252">
        <w:rPr>
          <w:lang w:val="fr-FR" w:eastAsia="fr-FR"/>
        </w:rPr>
        <w:t>’</w:t>
      </w:r>
      <w:r w:rsidRPr="00A66252">
        <w:rPr>
          <w:lang w:val="fr-FR" w:eastAsia="fr-FR"/>
        </w:rPr>
        <w:t>auparavant la prise en charge en milieu hospitalier n</w:t>
      </w:r>
      <w:r w:rsidR="00A66252" w:rsidRPr="00A66252">
        <w:rPr>
          <w:lang w:val="fr-FR" w:eastAsia="fr-FR"/>
        </w:rPr>
        <w:t>’</w:t>
      </w:r>
      <w:r w:rsidRPr="00A66252">
        <w:rPr>
          <w:lang w:val="fr-FR" w:eastAsia="fr-FR"/>
        </w:rPr>
        <w:t>était assurée, pour les malades présentant une charge virale importante et/ou une cirrhose, qu</w:t>
      </w:r>
      <w:r w:rsidR="00A66252" w:rsidRPr="00A66252">
        <w:rPr>
          <w:lang w:val="fr-FR" w:eastAsia="fr-FR"/>
        </w:rPr>
        <w:t>’</w:t>
      </w:r>
      <w:r w:rsidRPr="00A66252">
        <w:rPr>
          <w:lang w:val="fr-FR" w:eastAsia="fr-FR"/>
        </w:rPr>
        <w:t>à concurrence de 50</w:t>
      </w:r>
      <w:r w:rsidR="006A1051" w:rsidRPr="00A66252">
        <w:rPr>
          <w:lang w:val="fr-FR" w:eastAsia="fr-FR"/>
        </w:rPr>
        <w:t> </w:t>
      </w:r>
      <w:r w:rsidRPr="00A66252">
        <w:rPr>
          <w:lang w:val="fr-FR" w:eastAsia="fr-FR"/>
        </w:rPr>
        <w:t>% d</w:t>
      </w:r>
      <w:r w:rsidR="00A66252" w:rsidRPr="00A66252">
        <w:rPr>
          <w:lang w:val="fr-FR" w:eastAsia="fr-FR"/>
        </w:rPr>
        <w:t>’</w:t>
      </w:r>
      <w:r w:rsidRPr="00A66252">
        <w:rPr>
          <w:lang w:val="fr-FR" w:eastAsia="fr-FR"/>
        </w:rPr>
        <w:t>un montant défini par le Gouvernement et les médicaments n</w:t>
      </w:r>
      <w:r w:rsidR="00A66252" w:rsidRPr="00A66252">
        <w:rPr>
          <w:lang w:val="fr-FR" w:eastAsia="fr-FR"/>
        </w:rPr>
        <w:t>’</w:t>
      </w:r>
      <w:r w:rsidRPr="00A66252">
        <w:rPr>
          <w:lang w:val="fr-FR" w:eastAsia="fr-FR"/>
        </w:rPr>
        <w:t>étaient pas remboursés du tout, depuis le 20 avril 2015, les coûts engendrés par le diagnostic sont pri</w:t>
      </w:r>
      <w:r w:rsidR="006A1051" w:rsidRPr="00A66252">
        <w:rPr>
          <w:lang w:val="fr-FR" w:eastAsia="fr-FR"/>
        </w:rPr>
        <w:t>s en charge à concurrence de 70 </w:t>
      </w:r>
      <w:r w:rsidRPr="00A66252">
        <w:rPr>
          <w:lang w:val="fr-FR" w:eastAsia="fr-FR"/>
        </w:rPr>
        <w:t>% pour les familles socialement vulnérables et de 30</w:t>
      </w:r>
      <w:r w:rsidR="006A1051" w:rsidRPr="00A66252">
        <w:rPr>
          <w:lang w:val="fr-FR" w:eastAsia="fr-FR"/>
        </w:rPr>
        <w:t> </w:t>
      </w:r>
      <w:r w:rsidRPr="00A66252">
        <w:rPr>
          <w:lang w:val="fr-FR" w:eastAsia="fr-FR"/>
        </w:rPr>
        <w:t xml:space="preserve">% pour les autres patients. Un programme particulier à la ville de </w:t>
      </w:r>
      <w:r w:rsidR="004D08D2" w:rsidRPr="00A66252">
        <w:rPr>
          <w:lang w:val="fr-FR" w:eastAsia="fr-FR"/>
        </w:rPr>
        <w:t>Tbilissi</w:t>
      </w:r>
      <w:r w:rsidRPr="00A66252">
        <w:rPr>
          <w:lang w:val="fr-FR" w:eastAsia="fr-FR"/>
        </w:rPr>
        <w:t xml:space="preserve"> pour les patients qui y résident permet une prise en charge à 100</w:t>
      </w:r>
      <w:r w:rsidR="006A1051" w:rsidRPr="00A66252">
        <w:rPr>
          <w:lang w:val="fr-FR" w:eastAsia="fr-FR"/>
        </w:rPr>
        <w:t> </w:t>
      </w:r>
      <w:r w:rsidRPr="00A66252">
        <w:rPr>
          <w:lang w:val="fr-FR" w:eastAsia="fr-FR"/>
        </w:rPr>
        <w:t>%. En outre, l</w:t>
      </w:r>
      <w:r w:rsidR="00A66252" w:rsidRPr="00A66252">
        <w:rPr>
          <w:lang w:val="fr-FR" w:eastAsia="fr-FR"/>
        </w:rPr>
        <w:t>’</w:t>
      </w:r>
      <w:r w:rsidRPr="00A66252">
        <w:rPr>
          <w:lang w:val="fr-FR" w:eastAsia="fr-FR"/>
        </w:rPr>
        <w:t>accès aux médicaments est gratuit « pour tous les patients impliqués dans le protocole de traitement sur décision d</w:t>
      </w:r>
      <w:r w:rsidR="00A66252" w:rsidRPr="00A66252">
        <w:rPr>
          <w:lang w:val="fr-FR" w:eastAsia="fr-FR"/>
        </w:rPr>
        <w:t>’</w:t>
      </w:r>
      <w:r w:rsidRPr="00A66252">
        <w:rPr>
          <w:lang w:val="fr-FR" w:eastAsia="fr-FR"/>
        </w:rPr>
        <w:t>une commission spéciale ».</w:t>
      </w:r>
      <w:r w:rsidR="00B03C2E" w:rsidRPr="00A66252">
        <w:rPr>
          <w:lang w:val="fr-FR" w:eastAsia="fr-FR"/>
        </w:rPr>
        <w:t xml:space="preserve"> Enfin, une entreprise pharmaceutique a fourni à la Géorgie des doses d</w:t>
      </w:r>
      <w:r w:rsidR="00A66252" w:rsidRPr="00A66252">
        <w:rPr>
          <w:lang w:val="fr-FR" w:eastAsia="fr-FR"/>
        </w:rPr>
        <w:t>’</w:t>
      </w:r>
      <w:r w:rsidR="00B03C2E" w:rsidRPr="00A66252">
        <w:rPr>
          <w:lang w:val="fr-FR" w:eastAsia="fr-FR"/>
        </w:rPr>
        <w:t>une nouvelle thérapie</w:t>
      </w:r>
      <w:r w:rsidR="006A1051" w:rsidRPr="00A66252">
        <w:rPr>
          <w:lang w:val="fr-FR" w:eastAsia="fr-FR"/>
        </w:rPr>
        <w:br w:type="textWrapping" w:clear="all"/>
      </w:r>
      <w:r w:rsidR="00B03C2E" w:rsidRPr="00A66252">
        <w:rPr>
          <w:lang w:val="fr-FR" w:eastAsia="fr-FR"/>
        </w:rPr>
        <w:t xml:space="preserve">antirétrovirale – </w:t>
      </w:r>
      <w:proofErr w:type="spellStart"/>
      <w:r w:rsidR="00B03C2E" w:rsidRPr="00A66252">
        <w:rPr>
          <w:lang w:val="fr-FR" w:eastAsia="fr-FR"/>
        </w:rPr>
        <w:t>Solvadi</w:t>
      </w:r>
      <w:proofErr w:type="spellEnd"/>
      <w:r w:rsidR="00B03C2E" w:rsidRPr="00A66252">
        <w:rPr>
          <w:lang w:val="fr-FR" w:eastAsia="fr-FR"/>
        </w:rPr>
        <w:t xml:space="preserve"> et </w:t>
      </w:r>
      <w:proofErr w:type="spellStart"/>
      <w:r w:rsidR="00B03C2E" w:rsidRPr="00A66252">
        <w:rPr>
          <w:lang w:val="fr-FR" w:eastAsia="fr-FR"/>
        </w:rPr>
        <w:t>Harvoni</w:t>
      </w:r>
      <w:proofErr w:type="spellEnd"/>
      <w:r w:rsidR="00B03C2E" w:rsidRPr="00A66252">
        <w:rPr>
          <w:lang w:val="fr-FR" w:eastAsia="fr-FR"/>
        </w:rPr>
        <w:t xml:space="preserve"> – dont le requérant </w:t>
      </w:r>
      <w:r w:rsidR="00F7184B" w:rsidRPr="00A66252">
        <w:rPr>
          <w:lang w:val="fr-FR" w:eastAsia="fr-FR"/>
        </w:rPr>
        <w:t>aurait pu</w:t>
      </w:r>
      <w:r w:rsidR="00B03C2E" w:rsidRPr="00A66252">
        <w:rPr>
          <w:lang w:val="fr-FR" w:eastAsia="fr-FR"/>
        </w:rPr>
        <w:t xml:space="preserve"> bénéficier en cas de retour.</w:t>
      </w:r>
    </w:p>
    <w:bookmarkStart w:id="35" w:name="OBSGEOEND"/>
    <w:p w:rsidR="00B37859" w:rsidRPr="00A66252" w:rsidRDefault="00C538E5"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164</w:t>
      </w:r>
      <w:r w:rsidRPr="00A66252">
        <w:rPr>
          <w:lang w:val="fr-FR" w:eastAsia="fr-FR"/>
        </w:rPr>
        <w:fldChar w:fldCharType="end"/>
      </w:r>
      <w:bookmarkEnd w:id="35"/>
      <w:r w:rsidRPr="00A66252">
        <w:rPr>
          <w:lang w:val="fr-FR" w:eastAsia="fr-FR"/>
        </w:rPr>
        <w:t>.  S</w:t>
      </w:r>
      <w:r w:rsidR="00A66252" w:rsidRPr="00A66252">
        <w:rPr>
          <w:lang w:val="fr-FR" w:eastAsia="fr-FR"/>
        </w:rPr>
        <w:t>’</w:t>
      </w:r>
      <w:r w:rsidRPr="00A66252">
        <w:rPr>
          <w:lang w:val="fr-FR" w:eastAsia="fr-FR"/>
        </w:rPr>
        <w:t xml:space="preserve">agissant enfin de la </w:t>
      </w:r>
      <w:proofErr w:type="spellStart"/>
      <w:r w:rsidR="001148EB" w:rsidRPr="00A66252">
        <w:rPr>
          <w:szCs w:val="24"/>
          <w:lang w:val="fr-FR" w:eastAsia="fr-FR"/>
        </w:rPr>
        <w:t>bronchopneumopathie</w:t>
      </w:r>
      <w:proofErr w:type="spellEnd"/>
      <w:r w:rsidR="001148EB" w:rsidRPr="00A66252">
        <w:rPr>
          <w:szCs w:val="24"/>
          <w:lang w:val="fr-FR" w:eastAsia="fr-FR"/>
        </w:rPr>
        <w:t xml:space="preserve"> chronique obstructive</w:t>
      </w:r>
      <w:r w:rsidRPr="00A66252">
        <w:rPr>
          <w:lang w:val="fr-FR" w:eastAsia="fr-FR"/>
        </w:rPr>
        <w:t>, le Gouvernement géorgien indique que tous les traitements de base modernes sont disponibles en Géorgie. Il y a égale</w:t>
      </w:r>
      <w:r w:rsidR="00500EF8" w:rsidRPr="00A66252">
        <w:rPr>
          <w:lang w:val="fr-FR" w:eastAsia="fr-FR"/>
        </w:rPr>
        <w:t xml:space="preserve">ment plusieurs hôpitaux à </w:t>
      </w:r>
      <w:r w:rsidR="004D08D2" w:rsidRPr="00A66252">
        <w:rPr>
          <w:lang w:val="fr-FR" w:eastAsia="fr-FR"/>
        </w:rPr>
        <w:t>Tbilissi</w:t>
      </w:r>
      <w:r w:rsidRPr="00A66252">
        <w:rPr>
          <w:lang w:val="fr-FR" w:eastAsia="fr-FR"/>
        </w:rPr>
        <w:t xml:space="preserve"> où la prise en charge de cette pathologie est assurée. Les éventuelles interventions chirurgicales sont quant à elles couvertes par le programme de couverture médicale universelle.</w:t>
      </w:r>
    </w:p>
    <w:p w:rsidR="00B37859" w:rsidRPr="00A66252" w:rsidRDefault="00C93FE5" w:rsidP="00A66252">
      <w:pPr>
        <w:pStyle w:val="ECHRHeading3"/>
        <w:rPr>
          <w:lang w:val="fr-FR" w:eastAsia="fr-FR"/>
        </w:rPr>
      </w:pPr>
      <w:r w:rsidRPr="00A66252">
        <w:rPr>
          <w:lang w:val="fr-FR" w:eastAsia="fr-FR"/>
        </w:rPr>
        <w:t>2.  </w:t>
      </w:r>
      <w:r w:rsidR="00500EF8" w:rsidRPr="00A66252">
        <w:rPr>
          <w:lang w:val="fr-FR" w:eastAsia="fr-FR"/>
        </w:rPr>
        <w:t>Le C</w:t>
      </w:r>
      <w:r w:rsidR="00B37859" w:rsidRPr="00A66252">
        <w:rPr>
          <w:lang w:val="fr-FR" w:eastAsia="fr-FR"/>
        </w:rPr>
        <w:t>en</w:t>
      </w:r>
      <w:r w:rsidR="00500EF8" w:rsidRPr="00A66252">
        <w:rPr>
          <w:lang w:val="fr-FR" w:eastAsia="fr-FR"/>
        </w:rPr>
        <w:t>tre des droits de l</w:t>
      </w:r>
      <w:r w:rsidR="00A66252" w:rsidRPr="00A66252">
        <w:rPr>
          <w:lang w:val="fr-FR" w:eastAsia="fr-FR"/>
        </w:rPr>
        <w:t>’</w:t>
      </w:r>
      <w:r w:rsidR="00500EF8" w:rsidRPr="00A66252">
        <w:rPr>
          <w:lang w:val="fr-FR" w:eastAsia="fr-FR"/>
        </w:rPr>
        <w:t>homme de l</w:t>
      </w:r>
      <w:r w:rsidR="00A66252" w:rsidRPr="00A66252">
        <w:rPr>
          <w:lang w:val="fr-FR" w:eastAsia="fr-FR"/>
        </w:rPr>
        <w:t>’</w:t>
      </w:r>
      <w:r w:rsidR="00500EF8" w:rsidRPr="00A66252">
        <w:rPr>
          <w:lang w:val="fr-FR" w:eastAsia="fr-FR"/>
        </w:rPr>
        <w:t>U</w:t>
      </w:r>
      <w:r w:rsidR="00B37859" w:rsidRPr="00A66252">
        <w:rPr>
          <w:lang w:val="fr-FR" w:eastAsia="fr-FR"/>
        </w:rPr>
        <w:t>niversité de Gand</w:t>
      </w:r>
    </w:p>
    <w:p w:rsidR="00A66252" w:rsidRPr="00A66252" w:rsidRDefault="002C034F" w:rsidP="00A66252">
      <w:pPr>
        <w:pStyle w:val="ECHRPara"/>
        <w:rPr>
          <w:szCs w:val="24"/>
          <w:lang w:val="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165</w:t>
      </w:r>
      <w:r w:rsidRPr="00A66252">
        <w:rPr>
          <w:szCs w:val="24"/>
          <w:lang w:val="fr-FR" w:eastAsia="fr-FR"/>
        </w:rPr>
        <w:fldChar w:fldCharType="end"/>
      </w:r>
      <w:r w:rsidR="00AE45E5" w:rsidRPr="00A66252">
        <w:rPr>
          <w:szCs w:val="24"/>
          <w:lang w:val="fr-FR" w:eastAsia="fr-FR"/>
        </w:rPr>
        <w:t>.  </w:t>
      </w:r>
      <w:r w:rsidRPr="00A66252">
        <w:rPr>
          <w:lang w:val="fr-FR" w:eastAsia="fr-FR"/>
        </w:rPr>
        <w:t xml:space="preserve">Selon </w:t>
      </w:r>
      <w:r w:rsidR="00054321" w:rsidRPr="00A66252">
        <w:rPr>
          <w:lang w:val="fr-FR" w:eastAsia="fr-FR"/>
        </w:rPr>
        <w:t>l</w:t>
      </w:r>
      <w:r w:rsidR="00A66252" w:rsidRPr="00A66252">
        <w:rPr>
          <w:lang w:val="fr-FR" w:eastAsia="fr-FR"/>
        </w:rPr>
        <w:t>’</w:t>
      </w:r>
      <w:r w:rsidR="00054321" w:rsidRPr="00A66252">
        <w:rPr>
          <w:lang w:val="fr-FR" w:eastAsia="fr-FR"/>
        </w:rPr>
        <w:t>intervenant</w:t>
      </w:r>
      <w:r w:rsidRPr="00A66252">
        <w:rPr>
          <w:lang w:val="fr-FR" w:eastAsia="fr-FR"/>
        </w:rPr>
        <w:t xml:space="preserve">, la présente espèce </w:t>
      </w:r>
      <w:r w:rsidR="00054321" w:rsidRPr="00A66252">
        <w:rPr>
          <w:lang w:val="fr-FR" w:eastAsia="fr-FR"/>
        </w:rPr>
        <w:t>représente</w:t>
      </w:r>
      <w:r w:rsidRPr="00A66252">
        <w:rPr>
          <w:lang w:val="fr-FR" w:eastAsia="fr-FR"/>
        </w:rPr>
        <w:t xml:space="preserve"> une </w:t>
      </w:r>
      <w:r w:rsidR="00054321" w:rsidRPr="00A66252">
        <w:rPr>
          <w:lang w:val="fr-FR" w:eastAsia="fr-FR"/>
        </w:rPr>
        <w:t>occasion</w:t>
      </w:r>
      <w:r w:rsidRPr="00A66252">
        <w:rPr>
          <w:lang w:val="fr-FR" w:eastAsia="fr-FR"/>
        </w:rPr>
        <w:t xml:space="preserve"> unique de se départir de l</w:t>
      </w:r>
      <w:r w:rsidR="00A66252" w:rsidRPr="00A66252">
        <w:rPr>
          <w:lang w:val="fr-FR" w:eastAsia="fr-FR"/>
        </w:rPr>
        <w:t>’</w:t>
      </w:r>
      <w:r w:rsidRPr="00A66252">
        <w:rPr>
          <w:lang w:val="fr-FR" w:eastAsia="fr-FR"/>
        </w:rPr>
        <w:t xml:space="preserve">approche exagérément restrictive pour laquelle la Cour a opté dans </w:t>
      </w:r>
      <w:r w:rsidRPr="00A66252">
        <w:rPr>
          <w:i/>
          <w:lang w:val="fr-FR" w:eastAsia="fr-FR"/>
        </w:rPr>
        <w:t>N</w:t>
      </w:r>
      <w:r w:rsidR="00117D17" w:rsidRPr="00A66252">
        <w:rPr>
          <w:i/>
          <w:lang w:val="fr-FR" w:eastAsia="fr-FR"/>
        </w:rPr>
        <w:t>.</w:t>
      </w:r>
      <w:r w:rsidR="00963A36" w:rsidRPr="00A66252">
        <w:rPr>
          <w:i/>
          <w:lang w:val="fr-FR" w:eastAsia="fr-FR"/>
        </w:rPr>
        <w:t xml:space="preserve"> c. Royaume-Uni</w:t>
      </w:r>
      <w:r w:rsidR="00117D17" w:rsidRPr="00A66252">
        <w:rPr>
          <w:lang w:val="fr-FR" w:eastAsia="fr-FR"/>
        </w:rPr>
        <w:t xml:space="preserve"> en ce qui concerne l</w:t>
      </w:r>
      <w:r w:rsidR="00A66252" w:rsidRPr="00A66252">
        <w:rPr>
          <w:lang w:val="fr-FR" w:eastAsia="fr-FR"/>
        </w:rPr>
        <w:t>’</w:t>
      </w:r>
      <w:r w:rsidR="00117D17" w:rsidRPr="00A66252">
        <w:rPr>
          <w:lang w:val="fr-FR" w:eastAsia="fr-FR"/>
        </w:rPr>
        <w:t>expulsion des personnes gravement malades</w:t>
      </w:r>
      <w:r w:rsidR="00117D17" w:rsidRPr="00A66252">
        <w:rPr>
          <w:szCs w:val="24"/>
          <w:lang w:val="fr-FR"/>
        </w:rPr>
        <w:t>.</w:t>
      </w:r>
    </w:p>
    <w:p w:rsidR="00A66252" w:rsidRPr="00A66252" w:rsidRDefault="00054321"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166</w:t>
      </w:r>
      <w:r w:rsidRPr="00A66252">
        <w:rPr>
          <w:lang w:val="fr-FR"/>
        </w:rPr>
        <w:fldChar w:fldCharType="end"/>
      </w:r>
      <w:r w:rsidRPr="00A66252">
        <w:rPr>
          <w:lang w:val="fr-FR"/>
        </w:rPr>
        <w:t>.  L</w:t>
      </w:r>
      <w:r w:rsidR="00A66252" w:rsidRPr="00A66252">
        <w:rPr>
          <w:lang w:val="fr-FR"/>
        </w:rPr>
        <w:t>’</w:t>
      </w:r>
      <w:r w:rsidRPr="00A66252">
        <w:rPr>
          <w:lang w:val="fr-FR"/>
        </w:rPr>
        <w:t xml:space="preserve">intervenant fait </w:t>
      </w:r>
      <w:r w:rsidR="006E07E2" w:rsidRPr="00A66252">
        <w:rPr>
          <w:lang w:val="fr-FR"/>
        </w:rPr>
        <w:t>tout d</w:t>
      </w:r>
      <w:r w:rsidR="00A66252" w:rsidRPr="00A66252">
        <w:rPr>
          <w:lang w:val="fr-FR"/>
        </w:rPr>
        <w:t>’</w:t>
      </w:r>
      <w:r w:rsidR="006E07E2" w:rsidRPr="00A66252">
        <w:rPr>
          <w:lang w:val="fr-FR"/>
        </w:rPr>
        <w:t xml:space="preserve">abord </w:t>
      </w:r>
      <w:r w:rsidRPr="00A66252">
        <w:rPr>
          <w:lang w:val="fr-FR"/>
        </w:rPr>
        <w:t>valoir que cette approche contraste avec la jurisprudence générale relative aux violations potentielles de l</w:t>
      </w:r>
      <w:r w:rsidR="00A66252" w:rsidRPr="00A66252">
        <w:rPr>
          <w:lang w:val="fr-FR"/>
        </w:rPr>
        <w:t>’</w:t>
      </w:r>
      <w:r w:rsidRPr="00A66252">
        <w:rPr>
          <w:lang w:val="fr-FR"/>
        </w:rPr>
        <w:t>article 3 de la Convention.</w:t>
      </w:r>
    </w:p>
    <w:p w:rsidR="00117D17" w:rsidRPr="00A66252" w:rsidRDefault="00117D1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167</w:t>
      </w:r>
      <w:r w:rsidRPr="00A66252">
        <w:rPr>
          <w:lang w:val="fr-FR"/>
        </w:rPr>
        <w:fldChar w:fldCharType="end"/>
      </w:r>
      <w:r w:rsidRPr="00A66252">
        <w:rPr>
          <w:lang w:val="fr-FR"/>
        </w:rPr>
        <w:t>.  </w:t>
      </w:r>
      <w:r w:rsidR="00F839F7" w:rsidRPr="00A66252">
        <w:rPr>
          <w:lang w:val="fr-FR"/>
        </w:rPr>
        <w:t>Ainsi</w:t>
      </w:r>
      <w:r w:rsidR="00054321" w:rsidRPr="00A66252">
        <w:rPr>
          <w:lang w:val="fr-FR"/>
        </w:rPr>
        <w:t>,</w:t>
      </w:r>
      <w:r w:rsidR="00F839F7" w:rsidRPr="00A66252">
        <w:rPr>
          <w:lang w:val="fr-FR"/>
        </w:rPr>
        <w:t xml:space="preserve"> dans l</w:t>
      </w:r>
      <w:r w:rsidR="00A66252" w:rsidRPr="00A66252">
        <w:rPr>
          <w:lang w:val="fr-FR"/>
        </w:rPr>
        <w:t>’</w:t>
      </w:r>
      <w:r w:rsidR="00F839F7" w:rsidRPr="00A66252">
        <w:rPr>
          <w:lang w:val="fr-FR"/>
        </w:rPr>
        <w:t>arrêt</w:t>
      </w:r>
      <w:r w:rsidRPr="00A66252">
        <w:rPr>
          <w:lang w:val="fr-FR"/>
        </w:rPr>
        <w:t xml:space="preserve"> </w:t>
      </w:r>
      <w:proofErr w:type="spellStart"/>
      <w:r w:rsidRPr="00A66252">
        <w:rPr>
          <w:i/>
          <w:lang w:val="fr-FR"/>
        </w:rPr>
        <w:t>Pretty</w:t>
      </w:r>
      <w:proofErr w:type="spellEnd"/>
      <w:r w:rsidRPr="00A66252">
        <w:rPr>
          <w:i/>
          <w:lang w:val="fr-FR"/>
        </w:rPr>
        <w:t xml:space="preserve"> c. Royaume-Uni</w:t>
      </w:r>
      <w:r w:rsidRPr="00A66252">
        <w:rPr>
          <w:lang w:val="fr-FR"/>
        </w:rPr>
        <w:t xml:space="preserve"> (n</w:t>
      </w:r>
      <w:r w:rsidR="009472B8" w:rsidRPr="00A66252">
        <w:rPr>
          <w:vertAlign w:val="superscript"/>
          <w:lang w:val="fr-FR"/>
        </w:rPr>
        <w:t>o</w:t>
      </w:r>
      <w:r w:rsidR="00F839F7" w:rsidRPr="00A66252">
        <w:rPr>
          <w:lang w:val="fr-FR"/>
        </w:rPr>
        <w:t xml:space="preserve"> 2346/02, § 52, CEDH</w:t>
      </w:r>
      <w:r w:rsidR="00A51663" w:rsidRPr="00A66252">
        <w:rPr>
          <w:lang w:val="fr-FR"/>
        </w:rPr>
        <w:t> </w:t>
      </w:r>
      <w:r w:rsidR="00F839F7" w:rsidRPr="00A66252">
        <w:rPr>
          <w:lang w:val="fr-FR"/>
        </w:rPr>
        <w:t>2002</w:t>
      </w:r>
      <w:r w:rsidR="00500EF8" w:rsidRPr="00A66252">
        <w:rPr>
          <w:lang w:val="fr-FR"/>
        </w:rPr>
        <w:t>-</w:t>
      </w:r>
      <w:r w:rsidR="00F839F7" w:rsidRPr="00A66252">
        <w:rPr>
          <w:lang w:val="fr-FR"/>
        </w:rPr>
        <w:t>III)</w:t>
      </w:r>
      <w:r w:rsidRPr="00A66252">
        <w:rPr>
          <w:lang w:val="fr-FR"/>
        </w:rPr>
        <w:t>, la Cour indiqu</w:t>
      </w:r>
      <w:r w:rsidR="00F839F7" w:rsidRPr="00A66252">
        <w:rPr>
          <w:lang w:val="fr-FR"/>
        </w:rPr>
        <w:t>ait</w:t>
      </w:r>
      <w:r w:rsidRPr="00A66252">
        <w:rPr>
          <w:lang w:val="fr-FR"/>
        </w:rPr>
        <w:t xml:space="preserve"> pour quelle raison et dans quelle</w:t>
      </w:r>
      <w:r w:rsidR="00800622" w:rsidRPr="00A66252">
        <w:rPr>
          <w:lang w:val="fr-FR"/>
        </w:rPr>
        <w:t xml:space="preserve"> mesure la responsabilité de l</w:t>
      </w:r>
      <w:r w:rsidR="00A66252" w:rsidRPr="00A66252">
        <w:rPr>
          <w:lang w:val="fr-FR"/>
        </w:rPr>
        <w:t>’</w:t>
      </w:r>
      <w:r w:rsidR="00800622" w:rsidRPr="00A66252">
        <w:rPr>
          <w:lang w:val="fr-FR"/>
        </w:rPr>
        <w:t>É</w:t>
      </w:r>
      <w:r w:rsidRPr="00A66252">
        <w:rPr>
          <w:lang w:val="fr-FR"/>
        </w:rPr>
        <w:t xml:space="preserve">tat contractant </w:t>
      </w:r>
      <w:r w:rsidR="00F839F7" w:rsidRPr="00A66252">
        <w:rPr>
          <w:lang w:val="fr-FR"/>
        </w:rPr>
        <w:t>pouvait</w:t>
      </w:r>
      <w:r w:rsidRPr="00A66252">
        <w:rPr>
          <w:lang w:val="fr-FR"/>
        </w:rPr>
        <w:t xml:space="preserve"> être engagée. </w:t>
      </w:r>
      <w:r w:rsidR="00B22A69" w:rsidRPr="00A66252">
        <w:rPr>
          <w:lang w:val="fr-FR"/>
        </w:rPr>
        <w:t>La Cour faisait état de la conjonction entre d</w:t>
      </w:r>
      <w:r w:rsidR="00A66252" w:rsidRPr="00A66252">
        <w:rPr>
          <w:lang w:val="fr-FR"/>
        </w:rPr>
        <w:t>’</w:t>
      </w:r>
      <w:r w:rsidR="00B22A69" w:rsidRPr="00A66252">
        <w:rPr>
          <w:lang w:val="fr-FR"/>
        </w:rPr>
        <w:t>une part, une maladie survenant naturellement et, d</w:t>
      </w:r>
      <w:r w:rsidR="00A66252" w:rsidRPr="00A66252">
        <w:rPr>
          <w:lang w:val="fr-FR"/>
        </w:rPr>
        <w:t>’</w:t>
      </w:r>
      <w:r w:rsidR="00B22A69" w:rsidRPr="00A66252">
        <w:rPr>
          <w:lang w:val="fr-FR"/>
        </w:rPr>
        <w:t xml:space="preserve">autre part, son exacerbation par la mesure dont les autorités </w:t>
      </w:r>
      <w:r w:rsidR="005B425E" w:rsidRPr="00A66252">
        <w:rPr>
          <w:lang w:val="fr-FR"/>
        </w:rPr>
        <w:t>pouvaient</w:t>
      </w:r>
      <w:r w:rsidR="00B22A69" w:rsidRPr="00A66252">
        <w:rPr>
          <w:lang w:val="fr-FR"/>
        </w:rPr>
        <w:t xml:space="preserve"> être tenues pour responsables. </w:t>
      </w:r>
      <w:r w:rsidRPr="00A66252">
        <w:rPr>
          <w:lang w:val="fr-FR"/>
        </w:rPr>
        <w:t xml:space="preserve">En revanche, dans </w:t>
      </w:r>
      <w:r w:rsidRPr="00A66252">
        <w:rPr>
          <w:i/>
          <w:lang w:val="fr-FR"/>
        </w:rPr>
        <w:t>N.</w:t>
      </w:r>
      <w:r w:rsidR="00485F04" w:rsidRPr="00A66252">
        <w:rPr>
          <w:i/>
          <w:lang w:val="fr-FR"/>
        </w:rPr>
        <w:t xml:space="preserve"> c. Royaume-Uni</w:t>
      </w:r>
      <w:r w:rsidRPr="00A66252">
        <w:rPr>
          <w:lang w:val="fr-FR"/>
        </w:rPr>
        <w:t xml:space="preserve">, si </w:t>
      </w:r>
      <w:r w:rsidR="006E07E2" w:rsidRPr="00A66252">
        <w:rPr>
          <w:lang w:val="fr-FR"/>
        </w:rPr>
        <w:t>la Cour</w:t>
      </w:r>
      <w:r w:rsidRPr="00A66252">
        <w:rPr>
          <w:lang w:val="fr-FR"/>
        </w:rPr>
        <w:t xml:space="preserve"> se réfère encore à une maladie survenant naturellement, elle ne l</w:t>
      </w:r>
      <w:r w:rsidR="00A66252" w:rsidRPr="00A66252">
        <w:rPr>
          <w:lang w:val="fr-FR"/>
        </w:rPr>
        <w:t>’</w:t>
      </w:r>
      <w:r w:rsidRPr="00A66252">
        <w:rPr>
          <w:lang w:val="fr-FR"/>
        </w:rPr>
        <w:t>associe pas à la mesure prise par les autorités qui e</w:t>
      </w:r>
      <w:r w:rsidR="00F839F7" w:rsidRPr="00A66252">
        <w:rPr>
          <w:lang w:val="fr-FR"/>
        </w:rPr>
        <w:t xml:space="preserve">xacerberait cette maladie mais </w:t>
      </w:r>
      <w:r w:rsidRPr="00A66252">
        <w:rPr>
          <w:lang w:val="fr-FR"/>
        </w:rPr>
        <w:t>à l</w:t>
      </w:r>
      <w:r w:rsidR="00A66252" w:rsidRPr="00A66252">
        <w:rPr>
          <w:lang w:val="fr-FR"/>
        </w:rPr>
        <w:t>’</w:t>
      </w:r>
      <w:r w:rsidRPr="00A66252">
        <w:rPr>
          <w:lang w:val="fr-FR"/>
        </w:rPr>
        <w:t>absence de ressources suffisantes pour y faire face dans le pays de destination pour en déduire que le préjudice futur allégué n</w:t>
      </w:r>
      <w:r w:rsidR="00A66252" w:rsidRPr="00A66252">
        <w:rPr>
          <w:lang w:val="fr-FR"/>
        </w:rPr>
        <w:t>’</w:t>
      </w:r>
      <w:r w:rsidRPr="00A66252">
        <w:rPr>
          <w:lang w:val="fr-FR"/>
        </w:rPr>
        <w:t xml:space="preserve">engage pas </w:t>
      </w:r>
      <w:r w:rsidR="00800622" w:rsidRPr="00A66252">
        <w:rPr>
          <w:lang w:val="fr-FR"/>
        </w:rPr>
        <w:t>la responsabilité directe de l</w:t>
      </w:r>
      <w:r w:rsidR="00A66252" w:rsidRPr="00A66252">
        <w:rPr>
          <w:lang w:val="fr-FR"/>
        </w:rPr>
        <w:t>’</w:t>
      </w:r>
      <w:r w:rsidR="00800622" w:rsidRPr="00A66252">
        <w:rPr>
          <w:lang w:val="fr-FR"/>
        </w:rPr>
        <w:t>É</w:t>
      </w:r>
      <w:r w:rsidR="00AA3029" w:rsidRPr="00A66252">
        <w:rPr>
          <w:lang w:val="fr-FR"/>
        </w:rPr>
        <w:t>tat contractant.</w:t>
      </w:r>
    </w:p>
    <w:p w:rsidR="00F839F7" w:rsidRPr="00A66252" w:rsidRDefault="00F839F7"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168</w:t>
      </w:r>
      <w:r w:rsidRPr="00A66252">
        <w:rPr>
          <w:lang w:val="fr-FR"/>
        </w:rPr>
        <w:fldChar w:fldCharType="end"/>
      </w:r>
      <w:r w:rsidRPr="00A66252">
        <w:rPr>
          <w:lang w:val="fr-FR"/>
        </w:rPr>
        <w:t>.  Or</w:t>
      </w:r>
      <w:r w:rsidR="00C57ED0" w:rsidRPr="00A66252">
        <w:rPr>
          <w:lang w:val="fr-FR"/>
        </w:rPr>
        <w:t>,</w:t>
      </w:r>
      <w:r w:rsidRPr="00A66252">
        <w:rPr>
          <w:lang w:val="fr-FR"/>
        </w:rPr>
        <w:t xml:space="preserve"> dans le cas de l</w:t>
      </w:r>
      <w:r w:rsidR="00A66252" w:rsidRPr="00A66252">
        <w:rPr>
          <w:lang w:val="fr-FR"/>
        </w:rPr>
        <w:t>’</w:t>
      </w:r>
      <w:r w:rsidRPr="00A66252">
        <w:rPr>
          <w:lang w:val="fr-FR"/>
        </w:rPr>
        <w:t>éloignement de personnes gravement malades, le fait qui provoque le traitement inhumain et dégradant</w:t>
      </w:r>
      <w:r w:rsidR="00F76A4A" w:rsidRPr="00A66252">
        <w:rPr>
          <w:lang w:val="fr-FR"/>
        </w:rPr>
        <w:t xml:space="preserve"> </w:t>
      </w:r>
      <w:r w:rsidR="0003590C" w:rsidRPr="00A66252">
        <w:rPr>
          <w:lang w:val="fr-FR"/>
        </w:rPr>
        <w:t>est le déplacement délibéré des intéressés du lieu où ils peuvent obtenir un traitement vital vers un lieu où ils ne le peuvent pas</w:t>
      </w:r>
      <w:r w:rsidR="004D08D2" w:rsidRPr="00A66252">
        <w:rPr>
          <w:lang w:val="fr-FR"/>
        </w:rPr>
        <w:t>, ce</w:t>
      </w:r>
      <w:r w:rsidR="0003590C" w:rsidRPr="00A66252">
        <w:rPr>
          <w:lang w:val="fr-FR"/>
        </w:rPr>
        <w:t xml:space="preserve"> qui les expose à un risque, quasi-certain mais évitable, de souffrance et de décès qui engage la responsabilité de l</w:t>
      </w:r>
      <w:r w:rsidR="00A66252" w:rsidRPr="00A66252">
        <w:rPr>
          <w:lang w:val="fr-FR"/>
        </w:rPr>
        <w:t>’</w:t>
      </w:r>
      <w:r w:rsidR="0003590C" w:rsidRPr="00A66252">
        <w:rPr>
          <w:lang w:val="fr-FR"/>
        </w:rPr>
        <w:t>État.</w:t>
      </w:r>
      <w:r w:rsidR="003A7EF0" w:rsidRPr="00A66252">
        <w:rPr>
          <w:lang w:val="fr-FR"/>
        </w:rPr>
        <w:t xml:space="preserve"> Or la Cour a toujours admis que dans le cas où il y a de sérieux motifs de croire que la personne, si elle est éloignée, court le risque d</w:t>
      </w:r>
      <w:r w:rsidR="00A66252" w:rsidRPr="00A66252">
        <w:rPr>
          <w:lang w:val="fr-FR"/>
        </w:rPr>
        <w:t>’</w:t>
      </w:r>
      <w:r w:rsidR="003A7EF0" w:rsidRPr="00A66252">
        <w:rPr>
          <w:lang w:val="fr-FR"/>
        </w:rPr>
        <w:t>être soumise à un traitement contraire à l</w:t>
      </w:r>
      <w:r w:rsidR="00A66252" w:rsidRPr="00A66252">
        <w:rPr>
          <w:lang w:val="fr-FR"/>
        </w:rPr>
        <w:t>’</w:t>
      </w:r>
      <w:r w:rsidR="003A7EF0" w:rsidRPr="00A66252">
        <w:rPr>
          <w:lang w:val="fr-FR"/>
        </w:rPr>
        <w:t>article 3, cette disposition interdit</w:t>
      </w:r>
      <w:r w:rsidR="006774F6" w:rsidRPr="00A66252">
        <w:rPr>
          <w:lang w:val="fr-FR"/>
        </w:rPr>
        <w:t xml:space="preserve"> aux </w:t>
      </w:r>
      <w:r w:rsidR="00800622" w:rsidRPr="00A66252">
        <w:rPr>
          <w:lang w:val="fr-FR"/>
        </w:rPr>
        <w:t>É</w:t>
      </w:r>
      <w:r w:rsidR="006774F6" w:rsidRPr="00A66252">
        <w:rPr>
          <w:lang w:val="fr-FR"/>
        </w:rPr>
        <w:t>tats parties, en raison de son caractère absolu,</w:t>
      </w:r>
      <w:r w:rsidR="003A7EF0" w:rsidRPr="00A66252">
        <w:rPr>
          <w:lang w:val="fr-FR"/>
        </w:rPr>
        <w:t xml:space="preserve"> de procéder à l</w:t>
      </w:r>
      <w:r w:rsidR="00A66252" w:rsidRPr="00A66252">
        <w:rPr>
          <w:lang w:val="fr-FR"/>
        </w:rPr>
        <w:t>’</w:t>
      </w:r>
      <w:r w:rsidR="00054321" w:rsidRPr="00A66252">
        <w:rPr>
          <w:lang w:val="fr-FR"/>
        </w:rPr>
        <w:t>éloignement.</w:t>
      </w:r>
    </w:p>
    <w:p w:rsidR="006774F6" w:rsidRPr="00A66252" w:rsidRDefault="00054321" w:rsidP="00A66252">
      <w:pPr>
        <w:pStyle w:val="ECHRPara"/>
        <w:rPr>
          <w:szCs w:val="24"/>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169</w:t>
      </w:r>
      <w:r w:rsidRPr="00A66252">
        <w:rPr>
          <w:lang w:val="fr-FR"/>
        </w:rPr>
        <w:fldChar w:fldCharType="end"/>
      </w:r>
      <w:r w:rsidRPr="00A66252">
        <w:rPr>
          <w:lang w:val="fr-FR"/>
        </w:rPr>
        <w:t>. </w:t>
      </w:r>
      <w:r w:rsidR="002C7116" w:rsidRPr="00A66252">
        <w:rPr>
          <w:lang w:val="fr-FR"/>
        </w:rPr>
        <w:t> </w:t>
      </w:r>
      <w:r w:rsidR="006774F6" w:rsidRPr="00A66252">
        <w:rPr>
          <w:lang w:val="fr-FR"/>
        </w:rPr>
        <w:t>Dans l</w:t>
      </w:r>
      <w:r w:rsidR="00A66252" w:rsidRPr="00A66252">
        <w:rPr>
          <w:lang w:val="fr-FR"/>
        </w:rPr>
        <w:t>’</w:t>
      </w:r>
      <w:r w:rsidR="006774F6" w:rsidRPr="00A66252">
        <w:rPr>
          <w:lang w:val="fr-FR"/>
        </w:rPr>
        <w:t xml:space="preserve">arrêt </w:t>
      </w:r>
      <w:r w:rsidR="006774F6" w:rsidRPr="00A66252">
        <w:rPr>
          <w:i/>
          <w:lang w:val="fr-FR"/>
        </w:rPr>
        <w:t>N.</w:t>
      </w:r>
      <w:r w:rsidR="00941855" w:rsidRPr="00A66252">
        <w:rPr>
          <w:i/>
          <w:lang w:val="fr-FR"/>
        </w:rPr>
        <w:t xml:space="preserve"> c.</w:t>
      </w:r>
      <w:r w:rsidR="00941855" w:rsidRPr="00A66252">
        <w:rPr>
          <w:i/>
          <w:szCs w:val="24"/>
          <w:lang w:val="fr-FR"/>
        </w:rPr>
        <w:t xml:space="preserve"> Royaume-Uni</w:t>
      </w:r>
      <w:r w:rsidR="006774F6" w:rsidRPr="00A66252">
        <w:rPr>
          <w:lang w:val="fr-FR"/>
        </w:rPr>
        <w:t xml:space="preserve">, la Cour </w:t>
      </w:r>
      <w:r w:rsidRPr="00A66252">
        <w:rPr>
          <w:lang w:val="fr-FR"/>
        </w:rPr>
        <w:t xml:space="preserve">fonde </w:t>
      </w:r>
      <w:r w:rsidR="006774F6" w:rsidRPr="00A66252">
        <w:rPr>
          <w:lang w:val="fr-FR"/>
        </w:rPr>
        <w:t xml:space="preserve">en outre </w:t>
      </w:r>
      <w:r w:rsidRPr="00A66252">
        <w:rPr>
          <w:lang w:val="fr-FR"/>
        </w:rPr>
        <w:t>son raisonnement su</w:t>
      </w:r>
      <w:r w:rsidR="00AA3029" w:rsidRPr="00A66252">
        <w:rPr>
          <w:lang w:val="fr-FR"/>
        </w:rPr>
        <w:t>r « </w:t>
      </w:r>
      <w:r w:rsidRPr="00A66252">
        <w:rPr>
          <w:lang w:val="fr-FR"/>
        </w:rPr>
        <w:t>le souci d</w:t>
      </w:r>
      <w:r w:rsidR="00A66252" w:rsidRPr="00A66252">
        <w:rPr>
          <w:lang w:val="fr-FR"/>
        </w:rPr>
        <w:t>’</w:t>
      </w:r>
      <w:r w:rsidRPr="00A66252">
        <w:rPr>
          <w:lang w:val="fr-FR"/>
        </w:rPr>
        <w:t>assurer un juste équilibre entre les exigences de l</w:t>
      </w:r>
      <w:r w:rsidR="00A66252" w:rsidRPr="00A66252">
        <w:rPr>
          <w:lang w:val="fr-FR"/>
        </w:rPr>
        <w:t>’</w:t>
      </w:r>
      <w:r w:rsidRPr="00A66252">
        <w:rPr>
          <w:lang w:val="fr-FR"/>
        </w:rPr>
        <w:t>intérêt général de la communauté et les impératifs de la sauvegarde des droits fondamentaux de l</w:t>
      </w:r>
      <w:r w:rsidR="00A66252" w:rsidRPr="00A66252">
        <w:rPr>
          <w:lang w:val="fr-FR"/>
        </w:rPr>
        <w:t>’</w:t>
      </w:r>
      <w:r w:rsidRPr="00A66252">
        <w:rPr>
          <w:lang w:val="fr-FR"/>
        </w:rPr>
        <w:t>individu</w:t>
      </w:r>
      <w:r w:rsidR="00AA3029" w:rsidRPr="00A66252">
        <w:rPr>
          <w:lang w:val="fr-FR"/>
        </w:rPr>
        <w:t> </w:t>
      </w:r>
      <w:r w:rsidRPr="00A66252">
        <w:rPr>
          <w:lang w:val="fr-FR"/>
        </w:rPr>
        <w:t>» et le constat qu</w:t>
      </w:r>
      <w:r w:rsidR="00A66252" w:rsidRPr="00A66252">
        <w:rPr>
          <w:lang w:val="fr-FR"/>
        </w:rPr>
        <w:t>’</w:t>
      </w:r>
      <w:r w:rsidRPr="00A66252">
        <w:rPr>
          <w:lang w:val="fr-FR"/>
        </w:rPr>
        <w:t xml:space="preserve">une violation « ferait peser </w:t>
      </w:r>
      <w:r w:rsidR="00800622" w:rsidRPr="00A66252">
        <w:rPr>
          <w:lang w:val="fr-FR"/>
        </w:rPr>
        <w:t>une charge trop lourde sur les É</w:t>
      </w:r>
      <w:r w:rsidRPr="00A66252">
        <w:rPr>
          <w:lang w:val="fr-FR"/>
        </w:rPr>
        <w:t>tats contractants</w:t>
      </w:r>
      <w:r w:rsidR="00AA3029" w:rsidRPr="00A66252">
        <w:rPr>
          <w:lang w:val="fr-FR"/>
        </w:rPr>
        <w:t> </w:t>
      </w:r>
      <w:r w:rsidRPr="00A66252">
        <w:rPr>
          <w:lang w:val="fr-FR"/>
        </w:rPr>
        <w:t xml:space="preserve">». Une telle approche est en contradiction flagrante avec la jurisprudence qui se dégage </w:t>
      </w:r>
      <w:r w:rsidR="006774F6" w:rsidRPr="00A66252">
        <w:rPr>
          <w:lang w:val="fr-FR"/>
        </w:rPr>
        <w:t>de l</w:t>
      </w:r>
      <w:r w:rsidR="00A66252" w:rsidRPr="00A66252">
        <w:rPr>
          <w:lang w:val="fr-FR"/>
        </w:rPr>
        <w:t>’</w:t>
      </w:r>
      <w:r w:rsidR="006774F6" w:rsidRPr="00A66252">
        <w:rPr>
          <w:lang w:val="fr-FR"/>
        </w:rPr>
        <w:t>arrêt</w:t>
      </w:r>
      <w:r w:rsidRPr="00A66252">
        <w:rPr>
          <w:lang w:val="fr-FR"/>
        </w:rPr>
        <w:t xml:space="preserve"> </w:t>
      </w:r>
      <w:r w:rsidR="006774F6" w:rsidRPr="00A66252">
        <w:rPr>
          <w:i/>
          <w:szCs w:val="24"/>
          <w:lang w:val="fr-FR"/>
        </w:rPr>
        <w:t>Saadi c. Italie</w:t>
      </w:r>
      <w:r w:rsidR="006774F6" w:rsidRPr="00A66252">
        <w:rPr>
          <w:szCs w:val="24"/>
          <w:lang w:val="fr-FR"/>
        </w:rPr>
        <w:t xml:space="preserve"> [GC] (n</w:t>
      </w:r>
      <w:r w:rsidR="006774F6" w:rsidRPr="00A66252">
        <w:rPr>
          <w:szCs w:val="24"/>
          <w:vertAlign w:val="superscript"/>
          <w:lang w:val="fr-FR"/>
        </w:rPr>
        <w:t>o</w:t>
      </w:r>
      <w:r w:rsidR="006774F6" w:rsidRPr="00A66252">
        <w:rPr>
          <w:szCs w:val="24"/>
          <w:lang w:val="fr-FR"/>
        </w:rPr>
        <w:t xml:space="preserve"> 37201/06</w:t>
      </w:r>
      <w:r w:rsidR="006774F6" w:rsidRPr="00A66252">
        <w:rPr>
          <w:lang w:val="fr-FR"/>
        </w:rPr>
        <w:t>, CEDH 2008)</w:t>
      </w:r>
      <w:r w:rsidRPr="00A66252">
        <w:rPr>
          <w:rFonts w:cstheme="minorHAnsi"/>
          <w:lang w:val="fr-FR"/>
        </w:rPr>
        <w:t xml:space="preserve">, </w:t>
      </w:r>
      <w:r w:rsidR="00A74306" w:rsidRPr="00A66252">
        <w:rPr>
          <w:lang w:val="fr-FR"/>
        </w:rPr>
        <w:t>dans lequel</w:t>
      </w:r>
      <w:r w:rsidRPr="00A66252">
        <w:rPr>
          <w:lang w:val="fr-FR"/>
        </w:rPr>
        <w:t xml:space="preserve"> </w:t>
      </w:r>
      <w:r w:rsidRPr="00A66252">
        <w:rPr>
          <w:szCs w:val="24"/>
          <w:lang w:val="fr-FR"/>
        </w:rPr>
        <w:t>la Cour a clairement rejeté l</w:t>
      </w:r>
      <w:r w:rsidR="00A66252" w:rsidRPr="00A66252">
        <w:rPr>
          <w:szCs w:val="24"/>
          <w:lang w:val="fr-FR"/>
        </w:rPr>
        <w:t>’</w:t>
      </w:r>
      <w:r w:rsidRPr="00A66252">
        <w:rPr>
          <w:szCs w:val="24"/>
          <w:lang w:val="fr-FR"/>
        </w:rPr>
        <w:t>exercice de mise en balance et l</w:t>
      </w:r>
      <w:r w:rsidR="00A66252" w:rsidRPr="00A66252">
        <w:rPr>
          <w:szCs w:val="24"/>
          <w:lang w:val="fr-FR"/>
        </w:rPr>
        <w:t>’</w:t>
      </w:r>
      <w:r w:rsidRPr="00A66252">
        <w:rPr>
          <w:szCs w:val="24"/>
          <w:lang w:val="fr-FR"/>
        </w:rPr>
        <w:t>application d</w:t>
      </w:r>
      <w:r w:rsidR="00A66252" w:rsidRPr="00A66252">
        <w:rPr>
          <w:szCs w:val="24"/>
          <w:lang w:val="fr-FR"/>
        </w:rPr>
        <w:t>’</w:t>
      </w:r>
      <w:r w:rsidRPr="00A66252">
        <w:rPr>
          <w:szCs w:val="24"/>
          <w:lang w:val="fr-FR"/>
        </w:rPr>
        <w:t>un test de proportionnalité pour évaluer la conformité d</w:t>
      </w:r>
      <w:r w:rsidR="00A66252" w:rsidRPr="00A66252">
        <w:rPr>
          <w:szCs w:val="24"/>
          <w:lang w:val="fr-FR"/>
        </w:rPr>
        <w:t>’</w:t>
      </w:r>
      <w:r w:rsidRPr="00A66252">
        <w:rPr>
          <w:szCs w:val="24"/>
          <w:lang w:val="fr-FR"/>
        </w:rPr>
        <w:t>un éloignement avec l</w:t>
      </w:r>
      <w:r w:rsidR="00A66252" w:rsidRPr="00A66252">
        <w:rPr>
          <w:szCs w:val="24"/>
          <w:lang w:val="fr-FR"/>
        </w:rPr>
        <w:t>’</w:t>
      </w:r>
      <w:r w:rsidRPr="00A66252">
        <w:rPr>
          <w:szCs w:val="24"/>
          <w:lang w:val="fr-FR"/>
        </w:rPr>
        <w:t>article</w:t>
      </w:r>
      <w:r w:rsidR="00495E86" w:rsidRPr="00A66252">
        <w:rPr>
          <w:szCs w:val="24"/>
          <w:lang w:val="fr-FR"/>
        </w:rPr>
        <w:t> </w:t>
      </w:r>
      <w:r w:rsidR="00AA3029" w:rsidRPr="00A66252">
        <w:rPr>
          <w:szCs w:val="24"/>
          <w:lang w:val="fr-FR"/>
        </w:rPr>
        <w:t>3.</w:t>
      </w:r>
    </w:p>
    <w:p w:rsidR="006774F6" w:rsidRPr="00A66252" w:rsidRDefault="006774F6"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170</w:t>
      </w:r>
      <w:r w:rsidRPr="00A66252">
        <w:rPr>
          <w:szCs w:val="24"/>
          <w:lang w:val="fr-FR"/>
        </w:rPr>
        <w:fldChar w:fldCharType="end"/>
      </w:r>
      <w:r w:rsidRPr="00A66252">
        <w:rPr>
          <w:szCs w:val="24"/>
          <w:lang w:val="fr-FR"/>
        </w:rPr>
        <w:t>.  </w:t>
      </w:r>
      <w:r w:rsidR="00132375" w:rsidRPr="00A66252">
        <w:rPr>
          <w:szCs w:val="24"/>
          <w:lang w:val="fr-FR"/>
        </w:rPr>
        <w:t>L</w:t>
      </w:r>
      <w:r w:rsidR="00A66252" w:rsidRPr="00A66252">
        <w:rPr>
          <w:szCs w:val="24"/>
          <w:lang w:val="fr-FR"/>
        </w:rPr>
        <w:t>’</w:t>
      </w:r>
      <w:r w:rsidR="00132375" w:rsidRPr="00A66252">
        <w:rPr>
          <w:szCs w:val="24"/>
          <w:lang w:val="fr-FR"/>
        </w:rPr>
        <w:t xml:space="preserve">intervenant suggère </w:t>
      </w:r>
      <w:r w:rsidR="006E07E2" w:rsidRPr="00A66252">
        <w:rPr>
          <w:szCs w:val="24"/>
          <w:lang w:val="fr-FR"/>
        </w:rPr>
        <w:t>alors d</w:t>
      </w:r>
      <w:r w:rsidR="00A66252" w:rsidRPr="00A66252">
        <w:rPr>
          <w:szCs w:val="24"/>
          <w:lang w:val="fr-FR"/>
        </w:rPr>
        <w:t>’</w:t>
      </w:r>
      <w:r w:rsidR="006E07E2" w:rsidRPr="00A66252">
        <w:rPr>
          <w:szCs w:val="24"/>
          <w:lang w:val="fr-FR"/>
        </w:rPr>
        <w:t xml:space="preserve">opter pour </w:t>
      </w:r>
      <w:r w:rsidR="00AC78E4" w:rsidRPr="00A66252">
        <w:rPr>
          <w:szCs w:val="24"/>
          <w:lang w:val="fr-FR"/>
        </w:rPr>
        <w:t xml:space="preserve">une alternative aux critères </w:t>
      </w:r>
      <w:r w:rsidR="00132375" w:rsidRPr="00A66252">
        <w:rPr>
          <w:szCs w:val="24"/>
          <w:lang w:val="fr-FR"/>
        </w:rPr>
        <w:t xml:space="preserve">de </w:t>
      </w:r>
      <w:r w:rsidR="00AC78E4" w:rsidRPr="00A66252">
        <w:rPr>
          <w:szCs w:val="24"/>
          <w:lang w:val="fr-FR"/>
        </w:rPr>
        <w:t>la jurisprudence</w:t>
      </w:r>
      <w:r w:rsidR="00132375" w:rsidRPr="00A66252">
        <w:rPr>
          <w:szCs w:val="24"/>
          <w:lang w:val="fr-FR"/>
        </w:rPr>
        <w:t xml:space="preserve"> </w:t>
      </w:r>
      <w:r w:rsidR="00132375" w:rsidRPr="00A66252">
        <w:rPr>
          <w:i/>
          <w:szCs w:val="24"/>
          <w:lang w:val="fr-FR"/>
        </w:rPr>
        <w:t>N.</w:t>
      </w:r>
      <w:r w:rsidR="00963A36" w:rsidRPr="00A66252">
        <w:rPr>
          <w:i/>
          <w:szCs w:val="24"/>
          <w:lang w:val="fr-FR"/>
        </w:rPr>
        <w:t xml:space="preserve"> c. Royaume-Uni</w:t>
      </w:r>
      <w:r w:rsidR="00132375" w:rsidRPr="00A66252">
        <w:rPr>
          <w:szCs w:val="24"/>
          <w:lang w:val="fr-FR"/>
        </w:rPr>
        <w:t xml:space="preserve"> qui serait compatible avec le caractère absolu de l</w:t>
      </w:r>
      <w:r w:rsidR="00A66252" w:rsidRPr="00A66252">
        <w:rPr>
          <w:szCs w:val="24"/>
          <w:lang w:val="fr-FR"/>
        </w:rPr>
        <w:t>’</w:t>
      </w:r>
      <w:r w:rsidR="00132375" w:rsidRPr="00A66252">
        <w:rPr>
          <w:szCs w:val="24"/>
          <w:lang w:val="fr-FR"/>
        </w:rPr>
        <w:t>interdiction figurant à l</w:t>
      </w:r>
      <w:r w:rsidR="00A66252" w:rsidRPr="00A66252">
        <w:rPr>
          <w:szCs w:val="24"/>
          <w:lang w:val="fr-FR"/>
        </w:rPr>
        <w:t>’</w:t>
      </w:r>
      <w:r w:rsidR="00132375" w:rsidRPr="00A66252">
        <w:rPr>
          <w:szCs w:val="24"/>
          <w:lang w:val="fr-FR"/>
        </w:rPr>
        <w:t>article 3. Il s</w:t>
      </w:r>
      <w:r w:rsidR="00A66252" w:rsidRPr="00A66252">
        <w:rPr>
          <w:szCs w:val="24"/>
          <w:lang w:val="fr-FR"/>
        </w:rPr>
        <w:t>’</w:t>
      </w:r>
      <w:r w:rsidR="00132375" w:rsidRPr="00A66252">
        <w:rPr>
          <w:szCs w:val="24"/>
          <w:lang w:val="fr-FR"/>
        </w:rPr>
        <w:t>agi</w:t>
      </w:r>
      <w:r w:rsidR="002D1F03" w:rsidRPr="00A66252">
        <w:rPr>
          <w:szCs w:val="24"/>
          <w:lang w:val="fr-FR"/>
        </w:rPr>
        <w:t>rai</w:t>
      </w:r>
      <w:r w:rsidR="00132375" w:rsidRPr="00A66252">
        <w:rPr>
          <w:szCs w:val="24"/>
          <w:lang w:val="fr-FR"/>
        </w:rPr>
        <w:t>t d</w:t>
      </w:r>
      <w:r w:rsidR="00A66252" w:rsidRPr="00A66252">
        <w:rPr>
          <w:szCs w:val="24"/>
          <w:lang w:val="fr-FR"/>
        </w:rPr>
        <w:t>’</w:t>
      </w:r>
      <w:r w:rsidR="00132375" w:rsidRPr="00A66252">
        <w:rPr>
          <w:szCs w:val="24"/>
          <w:lang w:val="fr-FR"/>
        </w:rPr>
        <w:t xml:space="preserve">examiner </w:t>
      </w:r>
      <w:r w:rsidR="002D1F03" w:rsidRPr="00A66252">
        <w:rPr>
          <w:szCs w:val="24"/>
          <w:lang w:val="fr-FR"/>
        </w:rPr>
        <w:t xml:space="preserve">attentivement </w:t>
      </w:r>
      <w:r w:rsidR="00132375" w:rsidRPr="00A66252">
        <w:rPr>
          <w:szCs w:val="24"/>
          <w:lang w:val="fr-FR"/>
        </w:rPr>
        <w:t>toutes les conséquences prévisibles de l</w:t>
      </w:r>
      <w:r w:rsidR="00A66252" w:rsidRPr="00A66252">
        <w:rPr>
          <w:szCs w:val="24"/>
          <w:lang w:val="fr-FR"/>
        </w:rPr>
        <w:t>’</w:t>
      </w:r>
      <w:r w:rsidR="00132375" w:rsidRPr="00A66252">
        <w:rPr>
          <w:szCs w:val="24"/>
          <w:lang w:val="fr-FR"/>
        </w:rPr>
        <w:t>éloignement afin de déterminer si la réduction de l</w:t>
      </w:r>
      <w:r w:rsidR="00A66252" w:rsidRPr="00A66252">
        <w:rPr>
          <w:szCs w:val="24"/>
          <w:lang w:val="fr-FR"/>
        </w:rPr>
        <w:t>’</w:t>
      </w:r>
      <w:r w:rsidR="00132375" w:rsidRPr="00A66252">
        <w:rPr>
          <w:szCs w:val="24"/>
          <w:lang w:val="fr-FR"/>
        </w:rPr>
        <w:t xml:space="preserve">espérance de vie </w:t>
      </w:r>
      <w:r w:rsidR="002D1F03" w:rsidRPr="00A66252">
        <w:rPr>
          <w:szCs w:val="24"/>
          <w:lang w:val="fr-FR"/>
        </w:rPr>
        <w:t>et la détérioration de la qualité de vie des intéressés seraient telles que le seuil de gravité requis par l</w:t>
      </w:r>
      <w:r w:rsidR="00A66252" w:rsidRPr="00A66252">
        <w:rPr>
          <w:szCs w:val="24"/>
          <w:lang w:val="fr-FR"/>
        </w:rPr>
        <w:t>’</w:t>
      </w:r>
      <w:r w:rsidR="002D1F03" w:rsidRPr="00A66252">
        <w:rPr>
          <w:szCs w:val="24"/>
          <w:lang w:val="fr-FR"/>
        </w:rPr>
        <w:t xml:space="preserve">article 3 est atteint. Les paramètres à prendre en considération seraient, outre </w:t>
      </w:r>
      <w:r w:rsidR="00132375" w:rsidRPr="00A66252">
        <w:rPr>
          <w:szCs w:val="24"/>
          <w:lang w:val="fr-FR"/>
        </w:rPr>
        <w:t>l</w:t>
      </w:r>
      <w:r w:rsidR="00A66252" w:rsidRPr="00A66252">
        <w:rPr>
          <w:szCs w:val="24"/>
          <w:lang w:val="fr-FR"/>
        </w:rPr>
        <w:t>’</w:t>
      </w:r>
      <w:r w:rsidR="00132375" w:rsidRPr="00A66252">
        <w:rPr>
          <w:szCs w:val="24"/>
          <w:lang w:val="fr-FR"/>
        </w:rPr>
        <w:t xml:space="preserve">état de santé </w:t>
      </w:r>
      <w:r w:rsidR="002D1F03" w:rsidRPr="00A66252">
        <w:rPr>
          <w:szCs w:val="24"/>
          <w:lang w:val="fr-FR"/>
        </w:rPr>
        <w:t xml:space="preserve">des intéressés, le caractère approprié, en termes de qualité et </w:t>
      </w:r>
      <w:r w:rsidR="000C313F" w:rsidRPr="00A66252">
        <w:rPr>
          <w:szCs w:val="24"/>
          <w:lang w:val="fr-FR"/>
        </w:rPr>
        <w:t>de promptitude,</w:t>
      </w:r>
      <w:r w:rsidR="002D1F03" w:rsidRPr="00A66252">
        <w:rPr>
          <w:szCs w:val="24"/>
          <w:lang w:val="fr-FR"/>
        </w:rPr>
        <w:t xml:space="preserve"> des traitemen</w:t>
      </w:r>
      <w:r w:rsidR="00800622" w:rsidRPr="00A66252">
        <w:rPr>
          <w:szCs w:val="24"/>
          <w:lang w:val="fr-FR"/>
        </w:rPr>
        <w:t>ts médicaux disponibles dans l</w:t>
      </w:r>
      <w:r w:rsidR="00A66252" w:rsidRPr="00A66252">
        <w:rPr>
          <w:szCs w:val="24"/>
          <w:lang w:val="fr-FR"/>
        </w:rPr>
        <w:t>’</w:t>
      </w:r>
      <w:r w:rsidR="00800622" w:rsidRPr="00A66252">
        <w:rPr>
          <w:szCs w:val="24"/>
          <w:lang w:val="fr-FR"/>
        </w:rPr>
        <w:t>É</w:t>
      </w:r>
      <w:r w:rsidR="002D1F03" w:rsidRPr="00A66252">
        <w:rPr>
          <w:szCs w:val="24"/>
          <w:lang w:val="fr-FR"/>
        </w:rPr>
        <w:t>tat d</w:t>
      </w:r>
      <w:r w:rsidR="00A66252" w:rsidRPr="00A66252">
        <w:rPr>
          <w:szCs w:val="24"/>
          <w:lang w:val="fr-FR"/>
        </w:rPr>
        <w:t>’</w:t>
      </w:r>
      <w:r w:rsidR="002D1F03" w:rsidRPr="00A66252">
        <w:rPr>
          <w:szCs w:val="24"/>
          <w:lang w:val="fr-FR"/>
        </w:rPr>
        <w:t xml:space="preserve">accueil </w:t>
      </w:r>
      <w:r w:rsidR="006E07E2" w:rsidRPr="00A66252">
        <w:rPr>
          <w:szCs w:val="24"/>
          <w:lang w:val="fr-FR"/>
        </w:rPr>
        <w:t>ainsi que</w:t>
      </w:r>
      <w:r w:rsidR="000C313F" w:rsidRPr="00A66252">
        <w:rPr>
          <w:szCs w:val="24"/>
          <w:lang w:val="fr-FR"/>
        </w:rPr>
        <w:t xml:space="preserve"> leur accessibilité effective pour les personnes concernées. Cette dernière pourrait être évaluée en tenant compte du coût effectif des traitements</w:t>
      </w:r>
      <w:r w:rsidR="005E3802" w:rsidRPr="00A66252">
        <w:rPr>
          <w:szCs w:val="24"/>
          <w:lang w:val="fr-FR"/>
        </w:rPr>
        <w:t>, du soutien familial dont disposent les intéressés, de la distance géographique nécessaire pour accéder aux traitements ainsi que des particularités liées à l</w:t>
      </w:r>
      <w:r w:rsidR="00A66252" w:rsidRPr="00A66252">
        <w:rPr>
          <w:szCs w:val="24"/>
          <w:lang w:val="fr-FR"/>
        </w:rPr>
        <w:t>’</w:t>
      </w:r>
      <w:r w:rsidR="005E3802" w:rsidRPr="00A66252">
        <w:rPr>
          <w:szCs w:val="24"/>
          <w:lang w:val="fr-FR"/>
        </w:rPr>
        <w:t>état de santé des intéressés et qui accentuerai</w:t>
      </w:r>
      <w:r w:rsidR="006E07E2" w:rsidRPr="00A66252">
        <w:rPr>
          <w:szCs w:val="24"/>
          <w:lang w:val="fr-FR"/>
        </w:rPr>
        <w:t>en</w:t>
      </w:r>
      <w:r w:rsidR="005E3802" w:rsidRPr="00A66252">
        <w:rPr>
          <w:szCs w:val="24"/>
          <w:lang w:val="fr-FR"/>
        </w:rPr>
        <w:t>t leur vulnérabilité.</w:t>
      </w:r>
    </w:p>
    <w:p w:rsidR="00EB02C7" w:rsidRPr="00A66252" w:rsidRDefault="005E3802"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171</w:t>
      </w:r>
      <w:r w:rsidRPr="00A66252">
        <w:rPr>
          <w:szCs w:val="24"/>
          <w:lang w:val="fr-FR"/>
        </w:rPr>
        <w:fldChar w:fldCharType="end"/>
      </w:r>
      <w:r w:rsidRPr="00A66252">
        <w:rPr>
          <w:szCs w:val="24"/>
          <w:lang w:val="fr-FR"/>
        </w:rPr>
        <w:t>.  Enfin, l</w:t>
      </w:r>
      <w:r w:rsidR="00A66252" w:rsidRPr="00A66252">
        <w:rPr>
          <w:szCs w:val="24"/>
          <w:lang w:val="fr-FR"/>
        </w:rPr>
        <w:t>’</w:t>
      </w:r>
      <w:r w:rsidRPr="00A66252">
        <w:rPr>
          <w:szCs w:val="24"/>
          <w:lang w:val="fr-FR"/>
        </w:rPr>
        <w:t>intervenant propose que soit tirée de l</w:t>
      </w:r>
      <w:r w:rsidR="00A66252" w:rsidRPr="00A66252">
        <w:rPr>
          <w:szCs w:val="24"/>
          <w:lang w:val="fr-FR"/>
        </w:rPr>
        <w:t>’</w:t>
      </w:r>
      <w:r w:rsidRPr="00A66252">
        <w:rPr>
          <w:szCs w:val="24"/>
          <w:lang w:val="fr-FR"/>
        </w:rPr>
        <w:t xml:space="preserve">article 3 de la Convention une obligation procédurale à charge des autorités internes </w:t>
      </w:r>
      <w:r w:rsidR="00C80D3B" w:rsidRPr="00A66252">
        <w:rPr>
          <w:szCs w:val="24"/>
          <w:lang w:val="fr-FR"/>
        </w:rPr>
        <w:t xml:space="preserve">qui expulsent </w:t>
      </w:r>
      <w:r w:rsidRPr="00A66252">
        <w:rPr>
          <w:szCs w:val="24"/>
          <w:lang w:val="fr-FR"/>
        </w:rPr>
        <w:t>afin qu</w:t>
      </w:r>
      <w:r w:rsidR="00A66252" w:rsidRPr="00A66252">
        <w:rPr>
          <w:szCs w:val="24"/>
          <w:lang w:val="fr-FR"/>
        </w:rPr>
        <w:t>’</w:t>
      </w:r>
      <w:r w:rsidRPr="00A66252">
        <w:rPr>
          <w:szCs w:val="24"/>
          <w:lang w:val="fr-FR"/>
        </w:rPr>
        <w:t xml:space="preserve">elles </w:t>
      </w:r>
      <w:r w:rsidR="00C80D3B" w:rsidRPr="00A66252">
        <w:rPr>
          <w:szCs w:val="24"/>
          <w:lang w:val="fr-FR"/>
        </w:rPr>
        <w:t xml:space="preserve">cherchent ou </w:t>
      </w:r>
      <w:r w:rsidRPr="00A66252">
        <w:rPr>
          <w:szCs w:val="24"/>
          <w:lang w:val="fr-FR"/>
        </w:rPr>
        <w:t xml:space="preserve">obtiennent des assurances </w:t>
      </w:r>
      <w:r w:rsidR="00800622" w:rsidRPr="00A66252">
        <w:rPr>
          <w:szCs w:val="24"/>
          <w:lang w:val="fr-FR"/>
        </w:rPr>
        <w:t>de l</w:t>
      </w:r>
      <w:r w:rsidR="00A66252" w:rsidRPr="00A66252">
        <w:rPr>
          <w:szCs w:val="24"/>
          <w:lang w:val="fr-FR"/>
        </w:rPr>
        <w:t>’</w:t>
      </w:r>
      <w:r w:rsidR="00800622" w:rsidRPr="00A66252">
        <w:rPr>
          <w:szCs w:val="24"/>
          <w:lang w:val="fr-FR"/>
        </w:rPr>
        <w:t>É</w:t>
      </w:r>
      <w:r w:rsidR="00C80D3B" w:rsidRPr="00A66252">
        <w:rPr>
          <w:szCs w:val="24"/>
          <w:lang w:val="fr-FR"/>
        </w:rPr>
        <w:t>tat d</w:t>
      </w:r>
      <w:r w:rsidR="00A66252" w:rsidRPr="00A66252">
        <w:rPr>
          <w:szCs w:val="24"/>
          <w:lang w:val="fr-FR"/>
        </w:rPr>
        <w:t>’</w:t>
      </w:r>
      <w:r w:rsidR="00C80D3B" w:rsidRPr="00A66252">
        <w:rPr>
          <w:szCs w:val="24"/>
          <w:lang w:val="fr-FR"/>
        </w:rPr>
        <w:t>accueil que les intéressés aient effectivement accès aux traitements dont ils ont besoin</w:t>
      </w:r>
      <w:r w:rsidR="00256DFE" w:rsidRPr="00A66252">
        <w:rPr>
          <w:szCs w:val="24"/>
          <w:lang w:val="fr-FR"/>
        </w:rPr>
        <w:t xml:space="preserve"> </w:t>
      </w:r>
      <w:r w:rsidR="006E07E2" w:rsidRPr="00A66252">
        <w:rPr>
          <w:szCs w:val="24"/>
          <w:lang w:val="fr-FR"/>
        </w:rPr>
        <w:t xml:space="preserve">et soient donc </w:t>
      </w:r>
      <w:r w:rsidR="00C80D3B" w:rsidRPr="00A66252">
        <w:rPr>
          <w:szCs w:val="24"/>
          <w:lang w:val="fr-FR"/>
        </w:rPr>
        <w:t>protégés contre les traitements contraires à l</w:t>
      </w:r>
      <w:r w:rsidR="00A66252" w:rsidRPr="00A66252">
        <w:rPr>
          <w:szCs w:val="24"/>
          <w:lang w:val="fr-FR"/>
        </w:rPr>
        <w:t>’</w:t>
      </w:r>
      <w:r w:rsidR="00C80D3B" w:rsidRPr="00A66252">
        <w:rPr>
          <w:szCs w:val="24"/>
          <w:lang w:val="fr-FR"/>
        </w:rPr>
        <w:t>article 3.</w:t>
      </w:r>
    </w:p>
    <w:p w:rsidR="00EB02C7" w:rsidRPr="00A66252" w:rsidRDefault="00C93FE5" w:rsidP="00A66252">
      <w:pPr>
        <w:pStyle w:val="ECHRHeading2"/>
        <w:rPr>
          <w:lang w:val="fr-FR"/>
        </w:rPr>
      </w:pPr>
      <w:r w:rsidRPr="00A66252">
        <w:rPr>
          <w:lang w:val="fr-FR"/>
        </w:rPr>
        <w:lastRenderedPageBreak/>
        <w:t>D.  </w:t>
      </w:r>
      <w:r w:rsidR="00EB02C7" w:rsidRPr="00A66252">
        <w:rPr>
          <w:lang w:val="fr-FR"/>
        </w:rPr>
        <w:t>L</w:t>
      </w:r>
      <w:r w:rsidR="00A66252" w:rsidRPr="00A66252">
        <w:rPr>
          <w:lang w:val="fr-FR"/>
        </w:rPr>
        <w:t>’</w:t>
      </w:r>
      <w:r w:rsidR="00EB02C7" w:rsidRPr="00A66252">
        <w:rPr>
          <w:lang w:val="fr-FR"/>
        </w:rPr>
        <w:t>appréciation de la Cour</w:t>
      </w:r>
    </w:p>
    <w:p w:rsidR="007746BA" w:rsidRPr="00A66252" w:rsidRDefault="007746BA" w:rsidP="00A66252">
      <w:pPr>
        <w:pStyle w:val="ECHRHeading3"/>
        <w:rPr>
          <w:lang w:val="fr-FR" w:eastAsia="fr-FR"/>
        </w:rPr>
      </w:pPr>
      <w:r w:rsidRPr="00A66252">
        <w:rPr>
          <w:lang w:val="fr-FR" w:eastAsia="fr-FR"/>
        </w:rPr>
        <w:t>1.</w:t>
      </w:r>
      <w:r w:rsidR="00C93FE5" w:rsidRPr="00A66252">
        <w:rPr>
          <w:lang w:val="fr-FR" w:eastAsia="fr-FR"/>
        </w:rPr>
        <w:t>  </w:t>
      </w:r>
      <w:r w:rsidR="00B22A69" w:rsidRPr="00A66252">
        <w:rPr>
          <w:lang w:val="fr-FR" w:eastAsia="fr-FR"/>
        </w:rPr>
        <w:t>Principes généraux</w:t>
      </w:r>
    </w:p>
    <w:bookmarkStart w:id="36" w:name="JPEXPUSTART"/>
    <w:p w:rsidR="001D7D01" w:rsidRPr="00A66252" w:rsidRDefault="001D7D01" w:rsidP="00A66252">
      <w:pPr>
        <w:pStyle w:val="ECHRPara"/>
        <w:rPr>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172</w:t>
      </w:r>
      <w:r w:rsidRPr="00A66252">
        <w:rPr>
          <w:lang w:val="fr-FR" w:eastAsia="fr-FR"/>
        </w:rPr>
        <w:fldChar w:fldCharType="end"/>
      </w:r>
      <w:bookmarkEnd w:id="36"/>
      <w:r w:rsidRPr="00A66252">
        <w:rPr>
          <w:lang w:val="fr-FR" w:eastAsia="fr-FR"/>
        </w:rPr>
        <w:t>.  </w:t>
      </w:r>
      <w:r w:rsidR="00C33EF5" w:rsidRPr="00A66252">
        <w:rPr>
          <w:lang w:val="fr-FR" w:eastAsia="fr-FR"/>
        </w:rPr>
        <w:t>La Cour rappelle que l</w:t>
      </w:r>
      <w:r w:rsidR="00485F04" w:rsidRPr="00A66252">
        <w:rPr>
          <w:lang w:val="fr-FR" w:eastAsia="fr-FR"/>
        </w:rPr>
        <w:t>es</w:t>
      </w:r>
      <w:r w:rsidR="00800622" w:rsidRPr="00A66252">
        <w:rPr>
          <w:lang w:val="fr-FR" w:eastAsia="fr-FR"/>
        </w:rPr>
        <w:t xml:space="preserve"> É</w:t>
      </w:r>
      <w:r w:rsidR="00CD0EEC" w:rsidRPr="00A66252">
        <w:rPr>
          <w:lang w:val="fr-FR" w:eastAsia="fr-FR"/>
        </w:rPr>
        <w:t>tats contractants ont, en vertu d</w:t>
      </w:r>
      <w:r w:rsidR="00A66252" w:rsidRPr="00A66252">
        <w:rPr>
          <w:lang w:val="fr-FR" w:eastAsia="fr-FR"/>
        </w:rPr>
        <w:t>’</w:t>
      </w:r>
      <w:r w:rsidR="00CD0EEC" w:rsidRPr="00A66252">
        <w:rPr>
          <w:lang w:val="fr-FR" w:eastAsia="fr-FR"/>
        </w:rPr>
        <w:t>un principe de droit international bien établi et sans préjudice des engagements découlant pour eux de traités, y compris la Convention, le droit de contrôler l</w:t>
      </w:r>
      <w:r w:rsidR="00A66252" w:rsidRPr="00A66252">
        <w:rPr>
          <w:lang w:val="fr-FR" w:eastAsia="fr-FR"/>
        </w:rPr>
        <w:t>’</w:t>
      </w:r>
      <w:r w:rsidR="00CD0EEC" w:rsidRPr="00A66252">
        <w:rPr>
          <w:lang w:val="fr-FR" w:eastAsia="fr-FR"/>
        </w:rPr>
        <w:t>entrée, le séjour et l</w:t>
      </w:r>
      <w:r w:rsidR="00A66252" w:rsidRPr="00A66252">
        <w:rPr>
          <w:lang w:val="fr-FR" w:eastAsia="fr-FR"/>
        </w:rPr>
        <w:t>’</w:t>
      </w:r>
      <w:r w:rsidR="00CD0EEC" w:rsidRPr="00A66252">
        <w:rPr>
          <w:lang w:val="fr-FR" w:eastAsia="fr-FR"/>
        </w:rPr>
        <w:t>éloignement des non-nationaux</w:t>
      </w:r>
      <w:r w:rsidRPr="00A66252">
        <w:rPr>
          <w:lang w:val="fr-FR" w:eastAsia="fr-FR"/>
        </w:rPr>
        <w:t xml:space="preserve"> (</w:t>
      </w:r>
      <w:r w:rsidRPr="00A66252">
        <w:rPr>
          <w:i/>
          <w:lang w:val="fr-FR" w:eastAsia="fr-FR"/>
        </w:rPr>
        <w:t>N.</w:t>
      </w:r>
      <w:r w:rsidR="00C93FE5" w:rsidRPr="00A66252">
        <w:rPr>
          <w:i/>
          <w:lang w:val="fr-FR" w:eastAsia="fr-FR"/>
        </w:rPr>
        <w:t> </w:t>
      </w:r>
      <w:r w:rsidR="003966E2" w:rsidRPr="00A66252">
        <w:rPr>
          <w:i/>
          <w:lang w:val="fr-FR" w:eastAsia="fr-FR"/>
        </w:rPr>
        <w:t>c. Royaume-Uni</w:t>
      </w:r>
      <w:r w:rsidRPr="00A66252">
        <w:rPr>
          <w:lang w:val="fr-FR" w:eastAsia="fr-FR"/>
        </w:rPr>
        <w:t xml:space="preserve">, précité, § 30). </w:t>
      </w:r>
      <w:r w:rsidR="00B64F37" w:rsidRPr="00A66252">
        <w:rPr>
          <w:lang w:val="fr-FR" w:eastAsia="fr-FR"/>
        </w:rPr>
        <w:t>Dans le contexte de l</w:t>
      </w:r>
      <w:r w:rsidR="00A66252" w:rsidRPr="00A66252">
        <w:rPr>
          <w:lang w:val="fr-FR" w:eastAsia="fr-FR"/>
        </w:rPr>
        <w:t>’</w:t>
      </w:r>
      <w:r w:rsidR="00B64F37" w:rsidRPr="00A66252">
        <w:rPr>
          <w:lang w:val="fr-FR" w:eastAsia="fr-FR"/>
        </w:rPr>
        <w:t>article 3, c</w:t>
      </w:r>
      <w:r w:rsidRPr="00A66252">
        <w:rPr>
          <w:lang w:val="fr-FR" w:eastAsia="fr-FR"/>
        </w:rPr>
        <w:t xml:space="preserve">ette jurisprudence a été </w:t>
      </w:r>
      <w:r w:rsidR="00F76A4A" w:rsidRPr="00A66252">
        <w:rPr>
          <w:lang w:val="fr-FR" w:eastAsia="fr-FR"/>
        </w:rPr>
        <w:t>formulée pour la première fois dans</w:t>
      </w:r>
      <w:r w:rsidRPr="00A66252">
        <w:rPr>
          <w:lang w:val="fr-FR" w:eastAsia="fr-FR"/>
        </w:rPr>
        <w:t xml:space="preserve"> l</w:t>
      </w:r>
      <w:r w:rsidR="00A66252" w:rsidRPr="00A66252">
        <w:rPr>
          <w:lang w:val="fr-FR" w:eastAsia="fr-FR"/>
        </w:rPr>
        <w:t>’</w:t>
      </w:r>
      <w:r w:rsidRPr="00A66252">
        <w:rPr>
          <w:lang w:val="fr-FR" w:eastAsia="fr-FR"/>
        </w:rPr>
        <w:t xml:space="preserve">affaire </w:t>
      </w:r>
      <w:proofErr w:type="spellStart"/>
      <w:r w:rsidR="003524BE" w:rsidRPr="00A66252">
        <w:rPr>
          <w:i/>
          <w:lang w:val="fr-FR" w:eastAsia="fr-FR"/>
        </w:rPr>
        <w:t>Vilvarajah</w:t>
      </w:r>
      <w:proofErr w:type="spellEnd"/>
      <w:r w:rsidR="003524BE" w:rsidRPr="00A66252">
        <w:rPr>
          <w:i/>
          <w:lang w:val="fr-FR" w:eastAsia="fr-FR"/>
        </w:rPr>
        <w:t xml:space="preserve"> et autres c. </w:t>
      </w:r>
      <w:r w:rsidRPr="00A66252">
        <w:rPr>
          <w:i/>
          <w:lang w:val="fr-FR" w:eastAsia="fr-FR"/>
        </w:rPr>
        <w:t>Royaume-Uni</w:t>
      </w:r>
      <w:r w:rsidRPr="00A66252">
        <w:rPr>
          <w:lang w:val="fr-FR" w:eastAsia="fr-FR"/>
        </w:rPr>
        <w:t xml:space="preserve"> (30 octobre 1991, § 102, série A n</w:t>
      </w:r>
      <w:r w:rsidR="009472B8" w:rsidRPr="00A66252">
        <w:rPr>
          <w:vertAlign w:val="superscript"/>
          <w:lang w:val="fr-FR" w:eastAsia="fr-FR"/>
        </w:rPr>
        <w:t>o</w:t>
      </w:r>
      <w:r w:rsidRPr="00A66252">
        <w:rPr>
          <w:lang w:val="fr-FR" w:eastAsia="fr-FR"/>
        </w:rPr>
        <w:t xml:space="preserve"> 215).</w:t>
      </w:r>
    </w:p>
    <w:bookmarkStart w:id="37" w:name="RESPEXPU"/>
    <w:p w:rsidR="00A66252" w:rsidRPr="00A66252" w:rsidRDefault="001D7D01"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173</w:t>
      </w:r>
      <w:r w:rsidRPr="00A66252">
        <w:rPr>
          <w:lang w:val="fr-FR" w:eastAsia="fr-FR"/>
        </w:rPr>
        <w:fldChar w:fldCharType="end"/>
      </w:r>
      <w:bookmarkEnd w:id="37"/>
      <w:r w:rsidRPr="00A66252">
        <w:rPr>
          <w:lang w:val="fr-FR" w:eastAsia="fr-FR"/>
        </w:rPr>
        <w:t>.  L</w:t>
      </w:r>
      <w:r w:rsidR="00A66252" w:rsidRPr="00A66252">
        <w:rPr>
          <w:lang w:val="fr-FR" w:eastAsia="fr-FR"/>
        </w:rPr>
        <w:t>’</w:t>
      </w:r>
      <w:r w:rsidRPr="00A66252">
        <w:rPr>
          <w:lang w:val="fr-FR" w:eastAsia="fr-FR"/>
        </w:rPr>
        <w:t>expulsion d</w:t>
      </w:r>
      <w:r w:rsidR="00A66252" w:rsidRPr="00A66252">
        <w:rPr>
          <w:lang w:val="fr-FR" w:eastAsia="fr-FR"/>
        </w:rPr>
        <w:t>’</w:t>
      </w:r>
      <w:r w:rsidRPr="00A66252">
        <w:rPr>
          <w:lang w:val="fr-FR" w:eastAsia="fr-FR"/>
        </w:rPr>
        <w:t>un étranger par un État contractant peut toutefois soulever un problème au regard de l</w:t>
      </w:r>
      <w:r w:rsidR="00A66252" w:rsidRPr="00A66252">
        <w:rPr>
          <w:lang w:val="fr-FR" w:eastAsia="fr-FR"/>
        </w:rPr>
        <w:t>’</w:t>
      </w:r>
      <w:r w:rsidRPr="00A66252">
        <w:rPr>
          <w:lang w:val="fr-FR" w:eastAsia="fr-FR"/>
        </w:rPr>
        <w:t>article 3 de la Convention, lorsqu</w:t>
      </w:r>
      <w:r w:rsidR="00A66252" w:rsidRPr="00A66252">
        <w:rPr>
          <w:lang w:val="fr-FR" w:eastAsia="fr-FR"/>
        </w:rPr>
        <w:t>’</w:t>
      </w:r>
      <w:r w:rsidRPr="00A66252">
        <w:rPr>
          <w:lang w:val="fr-FR" w:eastAsia="fr-FR"/>
        </w:rPr>
        <w:t>il y a des motifs sérieux et avérés de croire que l</w:t>
      </w:r>
      <w:r w:rsidR="00A66252" w:rsidRPr="00A66252">
        <w:rPr>
          <w:lang w:val="fr-FR" w:eastAsia="fr-FR"/>
        </w:rPr>
        <w:t>’</w:t>
      </w:r>
      <w:r w:rsidRPr="00A66252">
        <w:rPr>
          <w:lang w:val="fr-FR" w:eastAsia="fr-FR"/>
        </w:rPr>
        <w:t>intéressé courra, dans le pays de destination, un risque réel d</w:t>
      </w:r>
      <w:r w:rsidR="00A66252" w:rsidRPr="00A66252">
        <w:rPr>
          <w:lang w:val="fr-FR" w:eastAsia="fr-FR"/>
        </w:rPr>
        <w:t>’</w:t>
      </w:r>
      <w:r w:rsidRPr="00A66252">
        <w:rPr>
          <w:lang w:val="fr-FR" w:eastAsia="fr-FR"/>
        </w:rPr>
        <w:t>être soumis à la torture ou à des peines ou traitements inhumains ou dégradants. Dans ce cas, l</w:t>
      </w:r>
      <w:r w:rsidR="00A66252" w:rsidRPr="00A66252">
        <w:rPr>
          <w:lang w:val="fr-FR" w:eastAsia="fr-FR"/>
        </w:rPr>
        <w:t>’</w:t>
      </w:r>
      <w:r w:rsidRPr="00A66252">
        <w:rPr>
          <w:lang w:val="fr-FR" w:eastAsia="fr-FR"/>
        </w:rPr>
        <w:t>article 3 implique l</w:t>
      </w:r>
      <w:r w:rsidR="00A66252" w:rsidRPr="00A66252">
        <w:rPr>
          <w:lang w:val="fr-FR" w:eastAsia="fr-FR"/>
        </w:rPr>
        <w:t>’</w:t>
      </w:r>
      <w:r w:rsidRPr="00A66252">
        <w:rPr>
          <w:lang w:val="fr-FR" w:eastAsia="fr-FR"/>
        </w:rPr>
        <w:t>obligation de ne pas expulser la personne en question vers ce pays</w:t>
      </w:r>
      <w:r w:rsidR="00E349B7" w:rsidRPr="00A66252">
        <w:rPr>
          <w:lang w:val="fr-FR" w:eastAsia="fr-FR"/>
        </w:rPr>
        <w:t xml:space="preserve"> (</w:t>
      </w:r>
      <w:r w:rsidRPr="00A66252">
        <w:rPr>
          <w:i/>
          <w:lang w:val="fr-FR" w:eastAsia="fr-FR"/>
        </w:rPr>
        <w:t>Saadi</w:t>
      </w:r>
      <w:r w:rsidR="00C130CF" w:rsidRPr="00A66252">
        <w:rPr>
          <w:lang w:val="fr-FR" w:eastAsia="fr-FR"/>
        </w:rPr>
        <w:t xml:space="preserve">, </w:t>
      </w:r>
      <w:r w:rsidRPr="00A66252">
        <w:rPr>
          <w:lang w:val="fr-FR" w:eastAsia="fr-FR"/>
        </w:rPr>
        <w:t>précité, § 12</w:t>
      </w:r>
      <w:r w:rsidR="00997E06" w:rsidRPr="00A66252">
        <w:rPr>
          <w:lang w:val="fr-FR" w:eastAsia="fr-FR"/>
        </w:rPr>
        <w:t>5</w:t>
      </w:r>
      <w:r w:rsidRPr="00A66252">
        <w:rPr>
          <w:lang w:val="fr-FR" w:eastAsia="fr-FR"/>
        </w:rPr>
        <w:t xml:space="preserve">, </w:t>
      </w:r>
      <w:r w:rsidRPr="00A66252">
        <w:rPr>
          <w:i/>
          <w:lang w:val="fr-FR" w:eastAsia="fr-FR"/>
        </w:rPr>
        <w:t>M.S.S.</w:t>
      </w:r>
      <w:r w:rsidRPr="00A66252">
        <w:rPr>
          <w:lang w:val="fr-FR" w:eastAsia="fr-FR"/>
        </w:rPr>
        <w:t xml:space="preserve"> </w:t>
      </w:r>
      <w:r w:rsidR="00A93C0D" w:rsidRPr="00A66252">
        <w:rPr>
          <w:i/>
          <w:lang w:val="fr-FR" w:eastAsia="fr-FR"/>
        </w:rPr>
        <w:t>c. Belgique et Grèce</w:t>
      </w:r>
      <w:r w:rsidR="00A93C0D" w:rsidRPr="00A66252">
        <w:rPr>
          <w:lang w:val="fr-FR" w:eastAsia="fr-FR"/>
        </w:rPr>
        <w:t>, précité, § </w:t>
      </w:r>
      <w:r w:rsidRPr="00A66252">
        <w:rPr>
          <w:lang w:val="fr-FR" w:eastAsia="fr-FR"/>
        </w:rPr>
        <w:t xml:space="preserve">365, </w:t>
      </w:r>
      <w:proofErr w:type="spellStart"/>
      <w:r w:rsidRPr="00A66252">
        <w:rPr>
          <w:i/>
          <w:lang w:val="fr-FR" w:eastAsia="fr-FR"/>
        </w:rPr>
        <w:t>Tarakhel</w:t>
      </w:r>
      <w:proofErr w:type="spellEnd"/>
      <w:r w:rsidR="00D66FC3" w:rsidRPr="00A66252">
        <w:rPr>
          <w:lang w:val="fr-FR" w:eastAsia="fr-FR"/>
        </w:rPr>
        <w:t xml:space="preserve">, </w:t>
      </w:r>
      <w:r w:rsidRPr="00A66252">
        <w:rPr>
          <w:lang w:val="fr-FR" w:eastAsia="fr-FR"/>
        </w:rPr>
        <w:t>précité</w:t>
      </w:r>
      <w:r w:rsidR="006600EE" w:rsidRPr="00A66252">
        <w:rPr>
          <w:lang w:val="fr-FR" w:eastAsia="fr-FR"/>
        </w:rPr>
        <w:t>,</w:t>
      </w:r>
      <w:r w:rsidRPr="00A66252">
        <w:rPr>
          <w:lang w:val="fr-FR" w:eastAsia="fr-FR"/>
        </w:rPr>
        <w:t xml:space="preserve"> § 93</w:t>
      </w:r>
      <w:r w:rsidR="00D66FC3" w:rsidRPr="00A66252">
        <w:rPr>
          <w:lang w:val="fr-FR" w:eastAsia="fr-FR"/>
        </w:rPr>
        <w:t>, et</w:t>
      </w:r>
      <w:r w:rsidR="0028719E" w:rsidRPr="00A66252">
        <w:rPr>
          <w:lang w:val="fr-FR" w:eastAsia="fr-FR"/>
        </w:rPr>
        <w:t xml:space="preserve"> </w:t>
      </w:r>
      <w:r w:rsidR="0028719E" w:rsidRPr="00A66252">
        <w:rPr>
          <w:i/>
          <w:lang w:val="fr-FR" w:eastAsia="fr-FR"/>
        </w:rPr>
        <w:t>F.G. c. Suède</w:t>
      </w:r>
      <w:r w:rsidR="0028719E" w:rsidRPr="00A66252">
        <w:rPr>
          <w:lang w:val="fr-FR" w:eastAsia="fr-FR"/>
        </w:rPr>
        <w:t>,</w:t>
      </w:r>
      <w:r w:rsidR="00EE4F04" w:rsidRPr="00A66252">
        <w:rPr>
          <w:lang w:val="fr-FR" w:eastAsia="fr-FR"/>
        </w:rPr>
        <w:t xml:space="preserve"> précité</w:t>
      </w:r>
      <w:r w:rsidR="006600EE" w:rsidRPr="00A66252">
        <w:rPr>
          <w:lang w:val="fr-FR" w:eastAsia="fr-FR"/>
        </w:rPr>
        <w:t>,</w:t>
      </w:r>
      <w:r w:rsidR="0028719E" w:rsidRPr="00A66252">
        <w:rPr>
          <w:lang w:val="fr-FR" w:eastAsia="fr-FR"/>
        </w:rPr>
        <w:t xml:space="preserve"> § 111</w:t>
      </w:r>
      <w:r w:rsidRPr="00A66252">
        <w:rPr>
          <w:lang w:val="fr-FR" w:eastAsia="fr-FR"/>
        </w:rPr>
        <w:t>).</w:t>
      </w:r>
    </w:p>
    <w:bookmarkStart w:id="38" w:name="JPEXPUSUITE"/>
    <w:p w:rsidR="003966E2" w:rsidRPr="00A66252" w:rsidRDefault="001D7D01" w:rsidP="00A66252">
      <w:pPr>
        <w:pStyle w:val="ECHRPara"/>
        <w:rPr>
          <w:i/>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174</w:t>
      </w:r>
      <w:r w:rsidRPr="00A66252">
        <w:rPr>
          <w:lang w:val="fr-FR" w:eastAsia="fr-FR"/>
        </w:rPr>
        <w:fldChar w:fldCharType="end"/>
      </w:r>
      <w:bookmarkEnd w:id="38"/>
      <w:r w:rsidRPr="00A66252">
        <w:rPr>
          <w:lang w:val="fr-FR" w:eastAsia="fr-FR"/>
        </w:rPr>
        <w:t>.  L</w:t>
      </w:r>
      <w:r w:rsidR="00A66252" w:rsidRPr="00A66252">
        <w:rPr>
          <w:lang w:val="fr-FR" w:eastAsia="fr-FR"/>
        </w:rPr>
        <w:t>’</w:t>
      </w:r>
      <w:r w:rsidRPr="00A66252">
        <w:rPr>
          <w:lang w:val="fr-FR" w:eastAsia="fr-FR"/>
        </w:rPr>
        <w:t>interdiction faite par l</w:t>
      </w:r>
      <w:r w:rsidR="00A66252" w:rsidRPr="00A66252">
        <w:rPr>
          <w:lang w:val="fr-FR" w:eastAsia="fr-FR"/>
        </w:rPr>
        <w:t>’</w:t>
      </w:r>
      <w:r w:rsidRPr="00A66252">
        <w:rPr>
          <w:lang w:val="fr-FR" w:eastAsia="fr-FR"/>
        </w:rPr>
        <w:t>article 3 de la Convention ne vise pas tous les mauvais traitements. Pour tomber sous le coup de cette disposition, un mauvais traitement doit atteindre un minimum de gravité. L</w:t>
      </w:r>
      <w:r w:rsidR="00A66252" w:rsidRPr="00A66252">
        <w:rPr>
          <w:lang w:val="fr-FR" w:eastAsia="fr-FR"/>
        </w:rPr>
        <w:t>’</w:t>
      </w:r>
      <w:r w:rsidRPr="00A66252">
        <w:rPr>
          <w:lang w:val="fr-FR" w:eastAsia="fr-FR"/>
        </w:rPr>
        <w:t>appréciation de ce minimum est relative ; elle dépend de l</w:t>
      </w:r>
      <w:r w:rsidR="00A66252" w:rsidRPr="00A66252">
        <w:rPr>
          <w:lang w:val="fr-FR" w:eastAsia="fr-FR"/>
        </w:rPr>
        <w:t>’</w:t>
      </w:r>
      <w:r w:rsidRPr="00A66252">
        <w:rPr>
          <w:lang w:val="fr-FR" w:eastAsia="fr-FR"/>
        </w:rPr>
        <w:t>ensemble des données de la cause, notamment de la durée du traitement et de ses effets physiques et mentaux ainsi que, parfois, du sexe, de l</w:t>
      </w:r>
      <w:r w:rsidR="00A66252" w:rsidRPr="00A66252">
        <w:rPr>
          <w:lang w:val="fr-FR" w:eastAsia="fr-FR"/>
        </w:rPr>
        <w:t>’</w:t>
      </w:r>
      <w:r w:rsidRPr="00A66252">
        <w:rPr>
          <w:lang w:val="fr-FR" w:eastAsia="fr-FR"/>
        </w:rPr>
        <w:t>âge et de l</w:t>
      </w:r>
      <w:r w:rsidR="00A66252" w:rsidRPr="00A66252">
        <w:rPr>
          <w:lang w:val="fr-FR" w:eastAsia="fr-FR"/>
        </w:rPr>
        <w:t>’</w:t>
      </w:r>
      <w:r w:rsidRPr="00A66252">
        <w:rPr>
          <w:lang w:val="fr-FR" w:eastAsia="fr-FR"/>
        </w:rPr>
        <w:t>état de santé de la victime (</w:t>
      </w:r>
      <w:r w:rsidRPr="00A66252">
        <w:rPr>
          <w:i/>
          <w:lang w:val="fr-FR" w:eastAsia="fr-FR"/>
        </w:rPr>
        <w:t>N.</w:t>
      </w:r>
      <w:r w:rsidR="00500EF8" w:rsidRPr="00A66252">
        <w:rPr>
          <w:i/>
          <w:lang w:val="fr-FR" w:eastAsia="fr-FR"/>
        </w:rPr>
        <w:t xml:space="preserve"> c. Royaume-Uni</w:t>
      </w:r>
      <w:r w:rsidRPr="00A66252">
        <w:rPr>
          <w:lang w:val="fr-FR" w:eastAsia="fr-FR"/>
        </w:rPr>
        <w:t>, précité, § 29</w:t>
      </w:r>
      <w:r w:rsidR="00472AB3" w:rsidRPr="00A66252">
        <w:rPr>
          <w:lang w:val="fr-FR" w:eastAsia="fr-FR"/>
        </w:rPr>
        <w:t> ;</w:t>
      </w:r>
      <w:r w:rsidRPr="00A66252">
        <w:rPr>
          <w:lang w:val="fr-FR" w:eastAsia="fr-FR"/>
        </w:rPr>
        <w:t xml:space="preserve"> voir aussi, </w:t>
      </w:r>
      <w:r w:rsidRPr="00A66252">
        <w:rPr>
          <w:i/>
          <w:lang w:val="fr-FR" w:eastAsia="fr-FR"/>
        </w:rPr>
        <w:t>M.S.S.</w:t>
      </w:r>
      <w:r w:rsidR="00B94324" w:rsidRPr="00A66252">
        <w:rPr>
          <w:i/>
          <w:lang w:val="fr-FR" w:eastAsia="fr-FR"/>
        </w:rPr>
        <w:t xml:space="preserve"> c. Belgique et Gr</w:t>
      </w:r>
      <w:r w:rsidR="00B94324" w:rsidRPr="00A66252">
        <w:rPr>
          <w:rFonts w:cstheme="minorHAnsi"/>
          <w:i/>
          <w:lang w:val="fr-FR" w:eastAsia="fr-FR"/>
        </w:rPr>
        <w:t>è</w:t>
      </w:r>
      <w:r w:rsidR="00B94324" w:rsidRPr="00A66252">
        <w:rPr>
          <w:i/>
          <w:lang w:val="fr-FR" w:eastAsia="fr-FR"/>
        </w:rPr>
        <w:t>ce</w:t>
      </w:r>
      <w:r w:rsidRPr="00A66252">
        <w:rPr>
          <w:lang w:val="fr-FR" w:eastAsia="fr-FR"/>
        </w:rPr>
        <w:t xml:space="preserve">, précité, § 219, </w:t>
      </w:r>
      <w:proofErr w:type="spellStart"/>
      <w:r w:rsidRPr="00A66252">
        <w:rPr>
          <w:i/>
          <w:lang w:val="fr-FR" w:eastAsia="fr-FR"/>
        </w:rPr>
        <w:t>Tarakhel</w:t>
      </w:r>
      <w:proofErr w:type="spellEnd"/>
      <w:r w:rsidRPr="00A66252">
        <w:rPr>
          <w:lang w:val="fr-FR" w:eastAsia="fr-FR"/>
        </w:rPr>
        <w:t xml:space="preserve">, précité, § 94, et </w:t>
      </w:r>
      <w:proofErr w:type="spellStart"/>
      <w:r w:rsidR="00495E86" w:rsidRPr="00A66252">
        <w:rPr>
          <w:i/>
          <w:lang w:val="fr-FR"/>
        </w:rPr>
        <w:t>Bouyid</w:t>
      </w:r>
      <w:proofErr w:type="spellEnd"/>
      <w:r w:rsidR="00495E86" w:rsidRPr="00A66252">
        <w:rPr>
          <w:i/>
          <w:lang w:val="fr-FR"/>
        </w:rPr>
        <w:t xml:space="preserve"> c. Belgique </w:t>
      </w:r>
      <w:r w:rsidR="00495E86" w:rsidRPr="00A66252">
        <w:rPr>
          <w:lang w:val="fr-FR"/>
        </w:rPr>
        <w:t>[GC], n</w:t>
      </w:r>
      <w:r w:rsidR="00495E86" w:rsidRPr="00A66252">
        <w:rPr>
          <w:vertAlign w:val="superscript"/>
          <w:lang w:val="fr-FR"/>
        </w:rPr>
        <w:t>o</w:t>
      </w:r>
      <w:r w:rsidR="00C312E7" w:rsidRPr="00A66252">
        <w:rPr>
          <w:lang w:val="fr-FR"/>
        </w:rPr>
        <w:t> </w:t>
      </w:r>
      <w:r w:rsidR="00932DA2" w:rsidRPr="00A66252">
        <w:rPr>
          <w:lang w:val="fr-FR"/>
        </w:rPr>
        <w:t>23380/09, § 86, CEDH-</w:t>
      </w:r>
      <w:r w:rsidR="00495E86" w:rsidRPr="00A66252">
        <w:rPr>
          <w:lang w:val="fr-FR"/>
        </w:rPr>
        <w:t>2015</w:t>
      </w:r>
      <w:r w:rsidRPr="00A66252">
        <w:rPr>
          <w:snapToGrid w:val="0"/>
          <w:lang w:val="fr-FR"/>
        </w:rPr>
        <w:t>)</w:t>
      </w:r>
      <w:r w:rsidRPr="00A66252">
        <w:rPr>
          <w:lang w:val="fr-FR" w:eastAsia="fr-FR"/>
        </w:rPr>
        <w:t>.</w:t>
      </w:r>
    </w:p>
    <w:p w:rsidR="00485F04" w:rsidRPr="00A66252" w:rsidRDefault="003966E2"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175</w:t>
      </w:r>
      <w:r w:rsidRPr="00A66252">
        <w:rPr>
          <w:lang w:val="fr-FR" w:eastAsia="fr-FR"/>
        </w:rPr>
        <w:fldChar w:fldCharType="end"/>
      </w:r>
      <w:r w:rsidRPr="00A66252">
        <w:rPr>
          <w:lang w:val="fr-FR" w:eastAsia="fr-FR"/>
        </w:rPr>
        <w:t>.  </w:t>
      </w:r>
      <w:r w:rsidR="00485F04" w:rsidRPr="00A66252">
        <w:rPr>
          <w:lang w:val="fr-FR" w:eastAsia="fr-FR"/>
        </w:rPr>
        <w:t xml:space="preserve">La Cour rappelle </w:t>
      </w:r>
      <w:r w:rsidR="002A58EC" w:rsidRPr="00A66252">
        <w:rPr>
          <w:lang w:val="fr-FR" w:eastAsia="fr-FR"/>
        </w:rPr>
        <w:t xml:space="preserve">en outre </w:t>
      </w:r>
      <w:r w:rsidR="00485F04" w:rsidRPr="00A66252">
        <w:rPr>
          <w:lang w:val="fr-FR" w:eastAsia="fr-FR"/>
        </w:rPr>
        <w:t>avoir jugé que</w:t>
      </w:r>
      <w:r w:rsidRPr="00A66252">
        <w:rPr>
          <w:lang w:val="fr-FR" w:eastAsia="fr-FR"/>
        </w:rPr>
        <w:t xml:space="preserve"> la souffrance due à une maladie survenant naturellement peut relever de l</w:t>
      </w:r>
      <w:r w:rsidR="00A66252" w:rsidRPr="00A66252">
        <w:rPr>
          <w:lang w:val="fr-FR" w:eastAsia="fr-FR"/>
        </w:rPr>
        <w:t>’</w:t>
      </w:r>
      <w:r w:rsidRPr="00A66252">
        <w:rPr>
          <w:lang w:val="fr-FR" w:eastAsia="fr-FR"/>
        </w:rPr>
        <w:t>article 3 si elle se trouve ou risque de se trouver exacerbée par un traitement – que celui-ci résulte de conditions de détention, d</w:t>
      </w:r>
      <w:r w:rsidR="00A66252" w:rsidRPr="00A66252">
        <w:rPr>
          <w:lang w:val="fr-FR" w:eastAsia="fr-FR"/>
        </w:rPr>
        <w:t>’</w:t>
      </w:r>
      <w:r w:rsidRPr="00A66252">
        <w:rPr>
          <w:lang w:val="fr-FR" w:eastAsia="fr-FR"/>
        </w:rPr>
        <w:t>une expulsion ou d</w:t>
      </w:r>
      <w:r w:rsidR="00A66252" w:rsidRPr="00A66252">
        <w:rPr>
          <w:lang w:val="fr-FR" w:eastAsia="fr-FR"/>
        </w:rPr>
        <w:t>’</w:t>
      </w:r>
      <w:r w:rsidRPr="00A66252">
        <w:rPr>
          <w:lang w:val="fr-FR" w:eastAsia="fr-FR"/>
        </w:rPr>
        <w:t>autres mes</w:t>
      </w:r>
      <w:r w:rsidR="00800622" w:rsidRPr="00A66252">
        <w:rPr>
          <w:lang w:val="fr-FR" w:eastAsia="fr-FR"/>
        </w:rPr>
        <w:t xml:space="preserve">ures – dont les autorités </w:t>
      </w:r>
      <w:r w:rsidRPr="00A66252">
        <w:rPr>
          <w:lang w:val="fr-FR" w:eastAsia="fr-FR"/>
        </w:rPr>
        <w:t>peuvent être tenues pour responsables</w:t>
      </w:r>
      <w:r w:rsidR="00485F04" w:rsidRPr="00A66252">
        <w:rPr>
          <w:lang w:val="fr-FR" w:eastAsia="fr-FR"/>
        </w:rPr>
        <w:t xml:space="preserve"> (</w:t>
      </w:r>
      <w:proofErr w:type="spellStart"/>
      <w:r w:rsidR="00485F04" w:rsidRPr="00A66252">
        <w:rPr>
          <w:i/>
          <w:lang w:val="fr-FR" w:eastAsia="fr-FR"/>
        </w:rPr>
        <w:t>Pretty</w:t>
      </w:r>
      <w:proofErr w:type="spellEnd"/>
      <w:r w:rsidR="00485F04" w:rsidRPr="00A66252">
        <w:rPr>
          <w:i/>
          <w:lang w:val="fr-FR" w:eastAsia="fr-FR"/>
        </w:rPr>
        <w:t xml:space="preserve">, </w:t>
      </w:r>
      <w:r w:rsidR="00485F04" w:rsidRPr="00A66252">
        <w:rPr>
          <w:lang w:val="fr-FR" w:eastAsia="fr-FR"/>
        </w:rPr>
        <w:t>précité, § 52).</w:t>
      </w:r>
      <w:r w:rsidR="00402AB0" w:rsidRPr="00A66252">
        <w:rPr>
          <w:lang w:val="fr-FR" w:eastAsia="fr-FR"/>
        </w:rPr>
        <w:t xml:space="preserve"> </w:t>
      </w:r>
      <w:r w:rsidR="00004219" w:rsidRPr="00A66252">
        <w:rPr>
          <w:lang w:val="fr-FR" w:eastAsia="fr-FR"/>
        </w:rPr>
        <w:t>Pour autant, i</w:t>
      </w:r>
      <w:r w:rsidR="00402AB0" w:rsidRPr="00A66252">
        <w:rPr>
          <w:lang w:val="fr-FR" w:eastAsia="fr-FR"/>
        </w:rPr>
        <w:t>l ne lui est pas interdit d</w:t>
      </w:r>
      <w:r w:rsidR="00A66252" w:rsidRPr="00A66252">
        <w:rPr>
          <w:lang w:val="fr-FR" w:eastAsia="fr-FR"/>
        </w:rPr>
        <w:t>’</w:t>
      </w:r>
      <w:r w:rsidR="00402AB0" w:rsidRPr="00A66252">
        <w:rPr>
          <w:lang w:val="fr-FR" w:eastAsia="fr-FR"/>
        </w:rPr>
        <w:t>examiner le grief d</w:t>
      </w:r>
      <w:r w:rsidR="00A66252" w:rsidRPr="00A66252">
        <w:rPr>
          <w:lang w:val="fr-FR" w:eastAsia="fr-FR"/>
        </w:rPr>
        <w:t>’</w:t>
      </w:r>
      <w:r w:rsidR="00402AB0" w:rsidRPr="00A66252">
        <w:rPr>
          <w:lang w:val="fr-FR" w:eastAsia="fr-FR"/>
        </w:rPr>
        <w:t>un requérant au titre de l</w:t>
      </w:r>
      <w:r w:rsidR="00A66252" w:rsidRPr="00A66252">
        <w:rPr>
          <w:lang w:val="fr-FR" w:eastAsia="fr-FR"/>
        </w:rPr>
        <w:t>’</w:t>
      </w:r>
      <w:r w:rsidR="00402AB0" w:rsidRPr="00A66252">
        <w:rPr>
          <w:lang w:val="fr-FR" w:eastAsia="fr-FR"/>
        </w:rPr>
        <w:t>article 3 lorsque le risque que celui-ci subisse des traitements interdits dans le pays de destination provient de facteurs qui ne peuvent engager, directement ou non, la responsabilité des autorités publiques de ce pays</w:t>
      </w:r>
      <w:r w:rsidR="00485F04" w:rsidRPr="00A66252">
        <w:rPr>
          <w:lang w:val="fr-FR" w:eastAsia="fr-FR"/>
        </w:rPr>
        <w:t xml:space="preserve"> </w:t>
      </w:r>
      <w:r w:rsidR="00402AB0" w:rsidRPr="00A66252">
        <w:rPr>
          <w:lang w:val="fr-FR" w:eastAsia="fr-FR"/>
        </w:rPr>
        <w:t>(</w:t>
      </w:r>
      <w:r w:rsidR="00402AB0" w:rsidRPr="00A66252">
        <w:rPr>
          <w:i/>
          <w:lang w:val="fr-FR" w:eastAsia="fr-FR"/>
        </w:rPr>
        <w:t>D</w:t>
      </w:r>
      <w:r w:rsidR="00B32D6C" w:rsidRPr="00A66252">
        <w:rPr>
          <w:lang w:val="fr-FR" w:eastAsia="fr-FR"/>
        </w:rPr>
        <w:t>. </w:t>
      </w:r>
      <w:r w:rsidR="00402AB0" w:rsidRPr="00A66252">
        <w:rPr>
          <w:i/>
          <w:lang w:val="fr-FR" w:eastAsia="fr-FR"/>
        </w:rPr>
        <w:t>c. Royaume-Uni</w:t>
      </w:r>
      <w:r w:rsidR="00402AB0" w:rsidRPr="00A66252">
        <w:rPr>
          <w:lang w:val="fr-FR" w:eastAsia="fr-FR"/>
        </w:rPr>
        <w:t>, précité, § 49).</w:t>
      </w:r>
    </w:p>
    <w:p w:rsidR="00A66252" w:rsidRPr="00A66252" w:rsidRDefault="00E23253"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176</w:t>
      </w:r>
      <w:r w:rsidRPr="00A66252">
        <w:rPr>
          <w:lang w:val="fr-FR" w:eastAsia="fr-FR"/>
        </w:rPr>
        <w:fldChar w:fldCharType="end"/>
      </w:r>
      <w:r w:rsidRPr="00A66252">
        <w:rPr>
          <w:lang w:val="fr-FR" w:eastAsia="fr-FR"/>
        </w:rPr>
        <w:t>.  </w:t>
      </w:r>
      <w:r w:rsidR="003966E2" w:rsidRPr="00A66252">
        <w:rPr>
          <w:lang w:val="fr-FR" w:eastAsia="fr-FR"/>
        </w:rPr>
        <w:t>La</w:t>
      </w:r>
      <w:r w:rsidR="001D7D01" w:rsidRPr="00A66252">
        <w:rPr>
          <w:lang w:val="fr-FR" w:eastAsia="fr-FR"/>
        </w:rPr>
        <w:t xml:space="preserve"> </w:t>
      </w:r>
      <w:r w:rsidR="003966E2" w:rsidRPr="00A66252">
        <w:rPr>
          <w:lang w:val="fr-FR" w:eastAsia="fr-FR"/>
        </w:rPr>
        <w:t>Cour s</w:t>
      </w:r>
      <w:r w:rsidR="00A66252" w:rsidRPr="00A66252">
        <w:rPr>
          <w:lang w:val="fr-FR" w:eastAsia="fr-FR"/>
        </w:rPr>
        <w:t>’</w:t>
      </w:r>
      <w:r w:rsidR="00E0546F" w:rsidRPr="00A66252">
        <w:rPr>
          <w:lang w:val="fr-FR" w:eastAsia="fr-FR"/>
        </w:rPr>
        <w:t xml:space="preserve">est appuyée </w:t>
      </w:r>
      <w:r w:rsidR="003966E2" w:rsidRPr="00A66252">
        <w:rPr>
          <w:lang w:val="fr-FR" w:eastAsia="fr-FR"/>
        </w:rPr>
        <w:t>sur les principes généraux rappelés ci-dessus</w:t>
      </w:r>
      <w:r w:rsidRPr="00A66252">
        <w:rPr>
          <w:lang w:val="fr-FR" w:eastAsia="fr-FR"/>
        </w:rPr>
        <w:t xml:space="preserve"> (paragraphes </w:t>
      </w:r>
      <w:r w:rsidR="00E45634" w:rsidRPr="00A66252">
        <w:rPr>
          <w:lang w:val="fr-FR" w:eastAsia="fr-FR"/>
        </w:rPr>
        <w:fldChar w:fldCharType="begin"/>
      </w:r>
      <w:r w:rsidR="00E45634" w:rsidRPr="00A66252">
        <w:rPr>
          <w:lang w:val="fr-FR" w:eastAsia="fr-FR"/>
        </w:rPr>
        <w:instrText xml:space="preserve"> REF JPEXPUSTART \h  \* MERGEFORMAT </w:instrText>
      </w:r>
      <w:r w:rsidR="00E45634" w:rsidRPr="00A66252">
        <w:rPr>
          <w:lang w:val="fr-FR" w:eastAsia="fr-FR"/>
        </w:rPr>
      </w:r>
      <w:r w:rsidR="00E45634" w:rsidRPr="00A66252">
        <w:rPr>
          <w:lang w:val="fr-FR" w:eastAsia="fr-FR"/>
        </w:rPr>
        <w:fldChar w:fldCharType="separate"/>
      </w:r>
      <w:r w:rsidR="00A66252" w:rsidRPr="00A66252">
        <w:rPr>
          <w:noProof/>
          <w:lang w:val="fr-FR" w:eastAsia="fr-FR"/>
        </w:rPr>
        <w:t>172</w:t>
      </w:r>
      <w:r w:rsidR="00E45634" w:rsidRPr="00A66252">
        <w:rPr>
          <w:lang w:val="fr-FR" w:eastAsia="fr-FR"/>
        </w:rPr>
        <w:fldChar w:fldCharType="end"/>
      </w:r>
      <w:r w:rsidRPr="00A66252">
        <w:rPr>
          <w:lang w:val="fr-FR" w:eastAsia="fr-FR"/>
        </w:rPr>
        <w:t>-</w:t>
      </w:r>
      <w:r w:rsidR="00E45634" w:rsidRPr="00A66252">
        <w:rPr>
          <w:lang w:val="fr-FR" w:eastAsia="fr-FR"/>
        </w:rPr>
        <w:fldChar w:fldCharType="begin"/>
      </w:r>
      <w:r w:rsidR="00E45634" w:rsidRPr="00A66252">
        <w:rPr>
          <w:lang w:val="fr-FR" w:eastAsia="fr-FR"/>
        </w:rPr>
        <w:instrText xml:space="preserve"> REF JPEXPUSUITE \h  \* MERGEFORMAT </w:instrText>
      </w:r>
      <w:r w:rsidR="00E45634" w:rsidRPr="00A66252">
        <w:rPr>
          <w:lang w:val="fr-FR" w:eastAsia="fr-FR"/>
        </w:rPr>
      </w:r>
      <w:r w:rsidR="00E45634" w:rsidRPr="00A66252">
        <w:rPr>
          <w:lang w:val="fr-FR" w:eastAsia="fr-FR"/>
        </w:rPr>
        <w:fldChar w:fldCharType="separate"/>
      </w:r>
      <w:r w:rsidR="00A66252" w:rsidRPr="00A66252">
        <w:rPr>
          <w:noProof/>
          <w:lang w:val="fr-FR" w:eastAsia="fr-FR"/>
        </w:rPr>
        <w:t>174</w:t>
      </w:r>
      <w:r w:rsidR="00E45634" w:rsidRPr="00A66252">
        <w:rPr>
          <w:lang w:val="fr-FR" w:eastAsia="fr-FR"/>
        </w:rPr>
        <w:fldChar w:fldCharType="end"/>
      </w:r>
      <w:r w:rsidRPr="00A66252">
        <w:rPr>
          <w:lang w:val="fr-FR" w:eastAsia="fr-FR"/>
        </w:rPr>
        <w:t>)</w:t>
      </w:r>
      <w:r w:rsidR="003966E2" w:rsidRPr="00A66252">
        <w:rPr>
          <w:lang w:val="fr-FR" w:eastAsia="fr-FR"/>
        </w:rPr>
        <w:t xml:space="preserve"> </w:t>
      </w:r>
      <w:r w:rsidR="00CB20CF" w:rsidRPr="00A66252">
        <w:rPr>
          <w:lang w:val="fr-FR" w:eastAsia="fr-FR"/>
        </w:rPr>
        <w:t xml:space="preserve">dans deux affaires concernant </w:t>
      </w:r>
      <w:r w:rsidR="003966E2" w:rsidRPr="00A66252">
        <w:rPr>
          <w:lang w:val="fr-FR" w:eastAsia="fr-FR"/>
        </w:rPr>
        <w:t>l</w:t>
      </w:r>
      <w:r w:rsidR="00A66252" w:rsidRPr="00A66252">
        <w:rPr>
          <w:lang w:val="fr-FR" w:eastAsia="fr-FR"/>
        </w:rPr>
        <w:t>’</w:t>
      </w:r>
      <w:r w:rsidR="003966E2" w:rsidRPr="00A66252">
        <w:rPr>
          <w:lang w:val="fr-FR" w:eastAsia="fr-FR"/>
        </w:rPr>
        <w:t xml:space="preserve">expulsion par le Royaume-Uni de ressortissants étrangers </w:t>
      </w:r>
      <w:r w:rsidRPr="00A66252">
        <w:rPr>
          <w:lang w:val="fr-FR" w:eastAsia="fr-FR"/>
        </w:rPr>
        <w:t>gravement malades</w:t>
      </w:r>
      <w:r w:rsidR="001D7D01" w:rsidRPr="00A66252">
        <w:rPr>
          <w:lang w:val="fr-FR" w:eastAsia="fr-FR"/>
        </w:rPr>
        <w:t xml:space="preserve">. </w:t>
      </w:r>
      <w:r w:rsidRPr="00A66252">
        <w:rPr>
          <w:lang w:val="fr-FR" w:eastAsia="fr-FR"/>
        </w:rPr>
        <w:t xml:space="preserve">Dans ces deux affaires, la Cour </w:t>
      </w:r>
      <w:r w:rsidR="00E0546F" w:rsidRPr="00A66252">
        <w:rPr>
          <w:lang w:val="fr-FR" w:eastAsia="fr-FR"/>
        </w:rPr>
        <w:t xml:space="preserve">est partie </w:t>
      </w:r>
      <w:r w:rsidRPr="00A66252">
        <w:rPr>
          <w:lang w:val="fr-FR" w:eastAsia="fr-FR"/>
        </w:rPr>
        <w:t>du postulat selon lequel les étrangers qui sont sous le coup d</w:t>
      </w:r>
      <w:r w:rsidR="00A66252" w:rsidRPr="00A66252">
        <w:rPr>
          <w:lang w:val="fr-FR" w:eastAsia="fr-FR"/>
        </w:rPr>
        <w:t>’</w:t>
      </w:r>
      <w:r w:rsidRPr="00A66252">
        <w:rPr>
          <w:lang w:val="fr-FR" w:eastAsia="fr-FR"/>
        </w:rPr>
        <w:t>un arrêté d</w:t>
      </w:r>
      <w:r w:rsidR="00A66252" w:rsidRPr="00A66252">
        <w:rPr>
          <w:lang w:val="fr-FR" w:eastAsia="fr-FR"/>
        </w:rPr>
        <w:t>’</w:t>
      </w:r>
      <w:r w:rsidRPr="00A66252">
        <w:rPr>
          <w:lang w:val="fr-FR" w:eastAsia="fr-FR"/>
        </w:rPr>
        <w:t>expulsion ne peuvent en principe revendiquer un droit à</w:t>
      </w:r>
      <w:r w:rsidR="00800622" w:rsidRPr="00A66252">
        <w:rPr>
          <w:lang w:val="fr-FR" w:eastAsia="fr-FR"/>
        </w:rPr>
        <w:t xml:space="preserve"> rester sur le territoire d</w:t>
      </w:r>
      <w:r w:rsidR="00A66252" w:rsidRPr="00A66252">
        <w:rPr>
          <w:lang w:val="fr-FR" w:eastAsia="fr-FR"/>
        </w:rPr>
        <w:t>’</w:t>
      </w:r>
      <w:r w:rsidR="00800622" w:rsidRPr="00A66252">
        <w:rPr>
          <w:lang w:val="fr-FR" w:eastAsia="fr-FR"/>
        </w:rPr>
        <w:t>un É</w:t>
      </w:r>
      <w:r w:rsidRPr="00A66252">
        <w:rPr>
          <w:lang w:val="fr-FR" w:eastAsia="fr-FR"/>
        </w:rPr>
        <w:t>tat contractant afin de continuer à bénéficier de l</w:t>
      </w:r>
      <w:r w:rsidR="00A66252" w:rsidRPr="00A66252">
        <w:rPr>
          <w:lang w:val="fr-FR" w:eastAsia="fr-FR"/>
        </w:rPr>
        <w:t>’</w:t>
      </w:r>
      <w:r w:rsidRPr="00A66252">
        <w:rPr>
          <w:lang w:val="fr-FR" w:eastAsia="fr-FR"/>
        </w:rPr>
        <w:t>assistance et des services médicaux, soci</w:t>
      </w:r>
      <w:r w:rsidR="00800622" w:rsidRPr="00A66252">
        <w:rPr>
          <w:lang w:val="fr-FR" w:eastAsia="fr-FR"/>
        </w:rPr>
        <w:t xml:space="preserve">aux ou autres </w:t>
      </w:r>
      <w:r w:rsidR="00800622" w:rsidRPr="00A66252">
        <w:rPr>
          <w:lang w:val="fr-FR" w:eastAsia="fr-FR"/>
        </w:rPr>
        <w:lastRenderedPageBreak/>
        <w:t>fournis par l</w:t>
      </w:r>
      <w:r w:rsidR="00A66252" w:rsidRPr="00A66252">
        <w:rPr>
          <w:lang w:val="fr-FR" w:eastAsia="fr-FR"/>
        </w:rPr>
        <w:t>’</w:t>
      </w:r>
      <w:r w:rsidR="00800622" w:rsidRPr="00A66252">
        <w:rPr>
          <w:lang w:val="fr-FR" w:eastAsia="fr-FR"/>
        </w:rPr>
        <w:t>É</w:t>
      </w:r>
      <w:r w:rsidRPr="00A66252">
        <w:rPr>
          <w:lang w:val="fr-FR" w:eastAsia="fr-FR"/>
        </w:rPr>
        <w:t>tat de renvoi (</w:t>
      </w:r>
      <w:r w:rsidRPr="00A66252">
        <w:rPr>
          <w:i/>
          <w:lang w:val="fr-FR" w:eastAsia="fr-FR"/>
        </w:rPr>
        <w:t>D</w:t>
      </w:r>
      <w:r w:rsidRPr="00A66252">
        <w:rPr>
          <w:lang w:val="fr-FR" w:eastAsia="fr-FR"/>
        </w:rPr>
        <w:t xml:space="preserve">. </w:t>
      </w:r>
      <w:r w:rsidRPr="00A66252">
        <w:rPr>
          <w:i/>
          <w:lang w:val="fr-FR" w:eastAsia="fr-FR"/>
        </w:rPr>
        <w:t>c. Royaume-Uni</w:t>
      </w:r>
      <w:r w:rsidRPr="00A66252">
        <w:rPr>
          <w:lang w:val="fr-FR" w:eastAsia="fr-FR"/>
        </w:rPr>
        <w:t xml:space="preserve">, précité, § 54, et </w:t>
      </w:r>
      <w:r w:rsidR="00C312E7" w:rsidRPr="00A66252">
        <w:rPr>
          <w:i/>
          <w:lang w:val="fr-FR" w:eastAsia="fr-FR"/>
        </w:rPr>
        <w:t>N. </w:t>
      </w:r>
      <w:r w:rsidR="003524BE" w:rsidRPr="00A66252">
        <w:rPr>
          <w:i/>
          <w:lang w:val="fr-FR" w:eastAsia="fr-FR"/>
        </w:rPr>
        <w:t>c. </w:t>
      </w:r>
      <w:r w:rsidRPr="00A66252">
        <w:rPr>
          <w:i/>
          <w:lang w:val="fr-FR" w:eastAsia="fr-FR"/>
        </w:rPr>
        <w:t>Royaume-Uni</w:t>
      </w:r>
      <w:r w:rsidRPr="00A66252">
        <w:rPr>
          <w:lang w:val="fr-FR" w:eastAsia="fr-FR"/>
        </w:rPr>
        <w:t>, précité, § 42).</w:t>
      </w:r>
    </w:p>
    <w:p w:rsidR="003966E2" w:rsidRPr="00A66252" w:rsidRDefault="003966E2"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177</w:t>
      </w:r>
      <w:r w:rsidRPr="00A66252">
        <w:rPr>
          <w:lang w:val="fr-FR" w:eastAsia="fr-FR"/>
        </w:rPr>
        <w:fldChar w:fldCharType="end"/>
      </w:r>
      <w:r w:rsidRPr="00A66252">
        <w:rPr>
          <w:lang w:val="fr-FR" w:eastAsia="fr-FR"/>
        </w:rPr>
        <w:t>.  Dans l</w:t>
      </w:r>
      <w:r w:rsidR="00A66252" w:rsidRPr="00A66252">
        <w:rPr>
          <w:lang w:val="fr-FR" w:eastAsia="fr-FR"/>
        </w:rPr>
        <w:t>’</w:t>
      </w:r>
      <w:r w:rsidRPr="00A66252">
        <w:rPr>
          <w:lang w:val="fr-FR" w:eastAsia="fr-FR"/>
        </w:rPr>
        <w:t xml:space="preserve">affaire </w:t>
      </w:r>
      <w:r w:rsidRPr="00A66252">
        <w:rPr>
          <w:i/>
          <w:lang w:val="fr-FR" w:eastAsia="fr-FR"/>
        </w:rPr>
        <w:t>D. c. Royaume-Uni</w:t>
      </w:r>
      <w:r w:rsidRPr="00A66252">
        <w:rPr>
          <w:lang w:val="fr-FR" w:eastAsia="fr-FR"/>
        </w:rPr>
        <w:t xml:space="preserve"> précitée</w:t>
      </w:r>
      <w:r w:rsidR="0047227A" w:rsidRPr="00A66252">
        <w:rPr>
          <w:lang w:val="fr-FR" w:eastAsia="fr-FR"/>
        </w:rPr>
        <w:t>,</w:t>
      </w:r>
      <w:r w:rsidRPr="00A66252">
        <w:rPr>
          <w:lang w:val="fr-FR" w:eastAsia="fr-FR"/>
        </w:rPr>
        <w:t xml:space="preserve"> qui concernait </w:t>
      </w:r>
      <w:r w:rsidR="0047227A" w:rsidRPr="00A66252">
        <w:rPr>
          <w:lang w:val="fr-FR" w:eastAsia="fr-FR"/>
        </w:rPr>
        <w:t xml:space="preserve">la décision prise </w:t>
      </w:r>
      <w:r w:rsidRPr="00A66252">
        <w:rPr>
          <w:lang w:val="fr-FR" w:eastAsia="fr-FR"/>
        </w:rPr>
        <w:t xml:space="preserve">par les autorités britanniques </w:t>
      </w:r>
      <w:r w:rsidR="0047227A" w:rsidRPr="00A66252">
        <w:rPr>
          <w:lang w:val="fr-FR" w:eastAsia="fr-FR"/>
        </w:rPr>
        <w:t>d</w:t>
      </w:r>
      <w:r w:rsidR="00A66252" w:rsidRPr="00A66252">
        <w:rPr>
          <w:lang w:val="fr-FR" w:eastAsia="fr-FR"/>
        </w:rPr>
        <w:t>’</w:t>
      </w:r>
      <w:r w:rsidR="0047227A" w:rsidRPr="00A66252">
        <w:rPr>
          <w:lang w:val="fr-FR" w:eastAsia="fr-FR"/>
        </w:rPr>
        <w:t xml:space="preserve">expulser </w:t>
      </w:r>
      <w:r w:rsidRPr="00A66252">
        <w:rPr>
          <w:lang w:val="fr-FR" w:eastAsia="fr-FR"/>
        </w:rPr>
        <w:t xml:space="preserve">vers Saint-Kitts un étranger malade du sida, la Cour </w:t>
      </w:r>
      <w:r w:rsidR="00E0546F" w:rsidRPr="00A66252">
        <w:rPr>
          <w:lang w:val="fr-FR" w:eastAsia="fr-FR"/>
        </w:rPr>
        <w:t xml:space="preserve">a </w:t>
      </w:r>
      <w:r w:rsidRPr="00A66252">
        <w:rPr>
          <w:lang w:val="fr-FR" w:eastAsia="fr-FR"/>
        </w:rPr>
        <w:t>considér</w:t>
      </w:r>
      <w:r w:rsidR="00E0546F" w:rsidRPr="00A66252">
        <w:rPr>
          <w:lang w:val="fr-FR" w:eastAsia="fr-FR"/>
        </w:rPr>
        <w:t>é</w:t>
      </w:r>
      <w:r w:rsidRPr="00A66252">
        <w:rPr>
          <w:lang w:val="fr-FR" w:eastAsia="fr-FR"/>
        </w:rPr>
        <w:t xml:space="preserve"> que cet éloignement exposerait le requérant à un risque réel de mourir dans des circonstances particulièrement douloureuses et constitu</w:t>
      </w:r>
      <w:r w:rsidR="00B32D6C" w:rsidRPr="00A66252">
        <w:rPr>
          <w:lang w:val="fr-FR" w:eastAsia="fr-FR"/>
        </w:rPr>
        <w:t>erait un traitement inhumain (</w:t>
      </w:r>
      <w:r w:rsidR="003758D4" w:rsidRPr="00A66252">
        <w:rPr>
          <w:i/>
          <w:lang w:val="fr-FR" w:eastAsia="fr-FR"/>
        </w:rPr>
        <w:t>D</w:t>
      </w:r>
      <w:r w:rsidR="003758D4" w:rsidRPr="00A66252">
        <w:rPr>
          <w:lang w:val="fr-FR" w:eastAsia="fr-FR"/>
        </w:rPr>
        <w:t xml:space="preserve">. </w:t>
      </w:r>
      <w:r w:rsidR="00A51663" w:rsidRPr="00A66252">
        <w:rPr>
          <w:i/>
          <w:lang w:val="fr-FR" w:eastAsia="fr-FR"/>
        </w:rPr>
        <w:t>c. </w:t>
      </w:r>
      <w:r w:rsidR="003758D4" w:rsidRPr="00A66252">
        <w:rPr>
          <w:i/>
          <w:lang w:val="fr-FR" w:eastAsia="fr-FR"/>
        </w:rPr>
        <w:t>Royaume-Uni</w:t>
      </w:r>
      <w:r w:rsidR="003758D4" w:rsidRPr="00A66252">
        <w:rPr>
          <w:lang w:val="fr-FR" w:eastAsia="fr-FR"/>
        </w:rPr>
        <w:t xml:space="preserve">, précité, </w:t>
      </w:r>
      <w:r w:rsidR="00B32D6C" w:rsidRPr="00A66252">
        <w:rPr>
          <w:lang w:val="fr-FR" w:eastAsia="fr-FR"/>
        </w:rPr>
        <w:t>§ </w:t>
      </w:r>
      <w:r w:rsidRPr="00A66252">
        <w:rPr>
          <w:lang w:val="fr-FR" w:eastAsia="fr-FR"/>
        </w:rPr>
        <w:t xml:space="preserve">53). Elle </w:t>
      </w:r>
      <w:r w:rsidR="00E0546F" w:rsidRPr="00A66252">
        <w:rPr>
          <w:lang w:val="fr-FR" w:eastAsia="fr-FR"/>
        </w:rPr>
        <w:t xml:space="preserve">a </w:t>
      </w:r>
      <w:r w:rsidRPr="00A66252">
        <w:rPr>
          <w:lang w:val="fr-FR" w:eastAsia="fr-FR"/>
        </w:rPr>
        <w:t>jug</w:t>
      </w:r>
      <w:r w:rsidR="00E0546F" w:rsidRPr="00A66252">
        <w:rPr>
          <w:lang w:val="fr-FR" w:eastAsia="fr-FR"/>
        </w:rPr>
        <w:t>é</w:t>
      </w:r>
      <w:r w:rsidRPr="00A66252">
        <w:rPr>
          <w:lang w:val="fr-FR" w:eastAsia="fr-FR"/>
        </w:rPr>
        <w:t xml:space="preserve"> que l</w:t>
      </w:r>
      <w:r w:rsidR="00A66252" w:rsidRPr="00A66252">
        <w:rPr>
          <w:lang w:val="fr-FR" w:eastAsia="fr-FR"/>
        </w:rPr>
        <w:t>’</w:t>
      </w:r>
      <w:r w:rsidRPr="00A66252">
        <w:rPr>
          <w:lang w:val="fr-FR" w:eastAsia="fr-FR"/>
        </w:rPr>
        <w:t xml:space="preserve">affaire était marquée par des « circonstances </w:t>
      </w:r>
      <w:r w:rsidR="00B518C0" w:rsidRPr="00A66252">
        <w:rPr>
          <w:lang w:val="fr-FR" w:eastAsia="fr-FR"/>
        </w:rPr>
        <w:t xml:space="preserve">très </w:t>
      </w:r>
      <w:r w:rsidRPr="00A66252">
        <w:rPr>
          <w:lang w:val="fr-FR" w:eastAsia="fr-FR"/>
        </w:rPr>
        <w:t>exceptionnelles », à savoir que le requérant souffrait d</w:t>
      </w:r>
      <w:r w:rsidR="00A66252" w:rsidRPr="00A66252">
        <w:rPr>
          <w:lang w:val="fr-FR" w:eastAsia="fr-FR"/>
        </w:rPr>
        <w:t>’</w:t>
      </w:r>
      <w:r w:rsidRPr="00A66252">
        <w:rPr>
          <w:lang w:val="fr-FR" w:eastAsia="fr-FR"/>
        </w:rPr>
        <w:t>une maladie incurable, qu</w:t>
      </w:r>
      <w:r w:rsidR="00A66252" w:rsidRPr="00A66252">
        <w:rPr>
          <w:lang w:val="fr-FR" w:eastAsia="fr-FR"/>
        </w:rPr>
        <w:t>’</w:t>
      </w:r>
      <w:r w:rsidRPr="00A66252">
        <w:rPr>
          <w:lang w:val="fr-FR" w:eastAsia="fr-FR"/>
        </w:rPr>
        <w:t>il était parvenu au stade terminal de sa maladie, qu</w:t>
      </w:r>
      <w:r w:rsidR="00A66252" w:rsidRPr="00A66252">
        <w:rPr>
          <w:lang w:val="fr-FR" w:eastAsia="fr-FR"/>
        </w:rPr>
        <w:t>’</w:t>
      </w:r>
      <w:r w:rsidRPr="00A66252">
        <w:rPr>
          <w:lang w:val="fr-FR" w:eastAsia="fr-FR"/>
        </w:rPr>
        <w:t>il n</w:t>
      </w:r>
      <w:r w:rsidR="00A66252" w:rsidRPr="00A66252">
        <w:rPr>
          <w:lang w:val="fr-FR" w:eastAsia="fr-FR"/>
        </w:rPr>
        <w:t>’</w:t>
      </w:r>
      <w:r w:rsidRPr="00A66252">
        <w:rPr>
          <w:lang w:val="fr-FR" w:eastAsia="fr-FR"/>
        </w:rPr>
        <w:t>était pas certain qu</w:t>
      </w:r>
      <w:r w:rsidR="00A66252" w:rsidRPr="00A66252">
        <w:rPr>
          <w:lang w:val="fr-FR" w:eastAsia="fr-FR"/>
        </w:rPr>
        <w:t>’</w:t>
      </w:r>
      <w:r w:rsidRPr="00A66252">
        <w:rPr>
          <w:lang w:val="fr-FR" w:eastAsia="fr-FR"/>
        </w:rPr>
        <w:t xml:space="preserve">il </w:t>
      </w:r>
      <w:r w:rsidR="0047227A" w:rsidRPr="00A66252">
        <w:rPr>
          <w:lang w:val="fr-FR" w:eastAsia="fr-FR"/>
        </w:rPr>
        <w:t xml:space="preserve">puisse </w:t>
      </w:r>
      <w:r w:rsidRPr="00A66252">
        <w:rPr>
          <w:lang w:val="fr-FR" w:eastAsia="fr-FR"/>
        </w:rPr>
        <w:t xml:space="preserve">bénéficier </w:t>
      </w:r>
      <w:r w:rsidR="00402AB0" w:rsidRPr="00A66252">
        <w:rPr>
          <w:lang w:val="fr-FR" w:eastAsia="fr-FR"/>
        </w:rPr>
        <w:t xml:space="preserve">à Saint-Kitts </w:t>
      </w:r>
      <w:r w:rsidRPr="00A66252">
        <w:rPr>
          <w:lang w:val="fr-FR" w:eastAsia="fr-FR"/>
        </w:rPr>
        <w:t xml:space="preserve">de soins médicaux ou infirmiers et </w:t>
      </w:r>
      <w:r w:rsidR="0047227A" w:rsidRPr="00A66252">
        <w:rPr>
          <w:lang w:val="fr-FR" w:eastAsia="fr-FR"/>
        </w:rPr>
        <w:t>qu</w:t>
      </w:r>
      <w:r w:rsidR="00A66252" w:rsidRPr="00A66252">
        <w:rPr>
          <w:lang w:val="fr-FR" w:eastAsia="fr-FR"/>
        </w:rPr>
        <w:t>’</w:t>
      </w:r>
      <w:r w:rsidR="0047227A" w:rsidRPr="00A66252">
        <w:rPr>
          <w:lang w:val="fr-FR" w:eastAsia="fr-FR"/>
        </w:rPr>
        <w:t xml:space="preserve">il </w:t>
      </w:r>
      <w:r w:rsidRPr="00A66252">
        <w:rPr>
          <w:lang w:val="fr-FR" w:eastAsia="fr-FR"/>
        </w:rPr>
        <w:t>ait là-bas un parent désireux ou en mesure de s</w:t>
      </w:r>
      <w:r w:rsidR="00A66252" w:rsidRPr="00A66252">
        <w:rPr>
          <w:lang w:val="fr-FR" w:eastAsia="fr-FR"/>
        </w:rPr>
        <w:t>’</w:t>
      </w:r>
      <w:r w:rsidRPr="00A66252">
        <w:rPr>
          <w:lang w:val="fr-FR" w:eastAsia="fr-FR"/>
        </w:rPr>
        <w:t xml:space="preserve">occuper de lui ou </w:t>
      </w:r>
      <w:r w:rsidR="00FA0021" w:rsidRPr="00A66252">
        <w:rPr>
          <w:lang w:val="fr-FR" w:eastAsia="fr-FR"/>
        </w:rPr>
        <w:t>d</w:t>
      </w:r>
      <w:r w:rsidR="00A66252" w:rsidRPr="00A66252">
        <w:rPr>
          <w:lang w:val="fr-FR" w:eastAsia="fr-FR"/>
        </w:rPr>
        <w:t>’</w:t>
      </w:r>
      <w:r w:rsidR="00FA0021" w:rsidRPr="00A66252">
        <w:rPr>
          <w:lang w:val="fr-FR" w:eastAsia="fr-FR"/>
        </w:rPr>
        <w:t>autres formes de</w:t>
      </w:r>
      <w:r w:rsidR="00A66252" w:rsidRPr="00A66252">
        <w:rPr>
          <w:lang w:val="fr-FR" w:eastAsia="fr-FR"/>
        </w:rPr>
        <w:t xml:space="preserve"> </w:t>
      </w:r>
      <w:r w:rsidRPr="00A66252">
        <w:rPr>
          <w:lang w:val="fr-FR" w:eastAsia="fr-FR"/>
        </w:rPr>
        <w:t xml:space="preserve">soutien </w:t>
      </w:r>
      <w:r w:rsidR="00FA0021" w:rsidRPr="00A66252">
        <w:rPr>
          <w:lang w:val="fr-FR" w:eastAsia="fr-FR"/>
        </w:rPr>
        <w:t xml:space="preserve">moral ou </w:t>
      </w:r>
      <w:r w:rsidRPr="00A66252">
        <w:rPr>
          <w:lang w:val="fr-FR" w:eastAsia="fr-FR"/>
        </w:rPr>
        <w:t>social (</w:t>
      </w:r>
      <w:r w:rsidR="008B441B" w:rsidRPr="00A66252">
        <w:rPr>
          <w:i/>
          <w:lang w:val="fr-FR" w:eastAsia="fr-FR"/>
        </w:rPr>
        <w:t>ibidem</w:t>
      </w:r>
      <w:r w:rsidR="003758D4" w:rsidRPr="00A66252">
        <w:rPr>
          <w:lang w:val="fr-FR" w:eastAsia="fr-FR"/>
        </w:rPr>
        <w:t xml:space="preserve">, </w:t>
      </w:r>
      <w:r w:rsidRPr="00A66252">
        <w:rPr>
          <w:lang w:val="fr-FR" w:eastAsia="fr-FR"/>
        </w:rPr>
        <w:t>§§ 52-53). Considérant que, dans ces conditions, ses souffrances atteindraient le minimum de gravité requis par l</w:t>
      </w:r>
      <w:r w:rsidR="00A66252" w:rsidRPr="00A66252">
        <w:rPr>
          <w:lang w:val="fr-FR" w:eastAsia="fr-FR"/>
        </w:rPr>
        <w:t>’</w:t>
      </w:r>
      <w:r w:rsidRPr="00A66252">
        <w:rPr>
          <w:lang w:val="fr-FR" w:eastAsia="fr-FR"/>
        </w:rPr>
        <w:t xml:space="preserve">article 3, la Cour </w:t>
      </w:r>
      <w:r w:rsidR="00E0546F" w:rsidRPr="00A66252">
        <w:rPr>
          <w:lang w:val="fr-FR" w:eastAsia="fr-FR"/>
        </w:rPr>
        <w:t xml:space="preserve">a </w:t>
      </w:r>
      <w:r w:rsidRPr="00A66252">
        <w:rPr>
          <w:lang w:val="fr-FR" w:eastAsia="fr-FR"/>
        </w:rPr>
        <w:t>conclu que des considérations humanitaires impérieuses militaient contre l</w:t>
      </w:r>
      <w:r w:rsidR="00A66252" w:rsidRPr="00A66252">
        <w:rPr>
          <w:lang w:val="fr-FR" w:eastAsia="fr-FR"/>
        </w:rPr>
        <w:t>’</w:t>
      </w:r>
      <w:r w:rsidRPr="00A66252">
        <w:rPr>
          <w:lang w:val="fr-FR" w:eastAsia="fr-FR"/>
        </w:rPr>
        <w:t>expulsion du requérant (</w:t>
      </w:r>
      <w:r w:rsidR="008B441B" w:rsidRPr="00A66252">
        <w:rPr>
          <w:i/>
          <w:lang w:val="fr-FR" w:eastAsia="fr-FR"/>
        </w:rPr>
        <w:t>ibidem</w:t>
      </w:r>
      <w:r w:rsidR="003758D4" w:rsidRPr="00A66252">
        <w:rPr>
          <w:lang w:val="fr-FR" w:eastAsia="fr-FR"/>
        </w:rPr>
        <w:t xml:space="preserve">, </w:t>
      </w:r>
      <w:r w:rsidRPr="00A66252">
        <w:rPr>
          <w:lang w:val="fr-FR" w:eastAsia="fr-FR"/>
        </w:rPr>
        <w:t>§ 54)</w:t>
      </w:r>
      <w:r w:rsidR="00D25470" w:rsidRPr="00A66252">
        <w:rPr>
          <w:lang w:val="fr-FR" w:eastAsia="fr-FR"/>
        </w:rPr>
        <w:t>.</w:t>
      </w:r>
    </w:p>
    <w:p w:rsidR="00206707" w:rsidRPr="00A66252" w:rsidRDefault="00E06D5C"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178</w:t>
      </w:r>
      <w:r w:rsidRPr="00A66252">
        <w:rPr>
          <w:lang w:val="fr-FR" w:eastAsia="fr-FR"/>
        </w:rPr>
        <w:fldChar w:fldCharType="end"/>
      </w:r>
      <w:r w:rsidR="001D7D01" w:rsidRPr="00A66252">
        <w:rPr>
          <w:lang w:val="fr-FR" w:eastAsia="fr-FR"/>
        </w:rPr>
        <w:t>.</w:t>
      </w:r>
      <w:r w:rsidRPr="00A66252">
        <w:rPr>
          <w:lang w:val="fr-FR" w:eastAsia="fr-FR"/>
        </w:rPr>
        <w:t> </w:t>
      </w:r>
      <w:r w:rsidR="002C7116" w:rsidRPr="00A66252">
        <w:rPr>
          <w:lang w:val="fr-FR" w:eastAsia="fr-FR"/>
        </w:rPr>
        <w:t> </w:t>
      </w:r>
      <w:r w:rsidRPr="00A66252">
        <w:rPr>
          <w:lang w:val="fr-FR" w:eastAsia="fr-FR"/>
        </w:rPr>
        <w:t xml:space="preserve">Dans </w:t>
      </w:r>
      <w:r w:rsidR="00130D4F" w:rsidRPr="00A66252">
        <w:rPr>
          <w:lang w:val="fr-FR" w:eastAsia="fr-FR"/>
        </w:rPr>
        <w:t>l</w:t>
      </w:r>
      <w:r w:rsidR="00A66252" w:rsidRPr="00A66252">
        <w:rPr>
          <w:lang w:val="fr-FR" w:eastAsia="fr-FR"/>
        </w:rPr>
        <w:t>’</w:t>
      </w:r>
      <w:r w:rsidR="00130D4F" w:rsidRPr="00A66252">
        <w:rPr>
          <w:lang w:val="fr-FR" w:eastAsia="fr-FR"/>
        </w:rPr>
        <w:t xml:space="preserve">affaire </w:t>
      </w:r>
      <w:r w:rsidR="00130D4F" w:rsidRPr="00A66252">
        <w:rPr>
          <w:i/>
          <w:lang w:val="fr-FR" w:eastAsia="fr-FR"/>
        </w:rPr>
        <w:t>N.</w:t>
      </w:r>
      <w:r w:rsidR="003966E2" w:rsidRPr="00A66252">
        <w:rPr>
          <w:i/>
          <w:lang w:val="fr-FR" w:eastAsia="fr-FR"/>
        </w:rPr>
        <w:t xml:space="preserve"> c. Royaume-Uni</w:t>
      </w:r>
      <w:r w:rsidR="003966E2" w:rsidRPr="00A66252">
        <w:rPr>
          <w:lang w:val="fr-FR" w:eastAsia="fr-FR"/>
        </w:rPr>
        <w:t xml:space="preserve"> qui concernait l</w:t>
      </w:r>
      <w:r w:rsidR="00A66252" w:rsidRPr="00A66252">
        <w:rPr>
          <w:lang w:val="fr-FR" w:eastAsia="fr-FR"/>
        </w:rPr>
        <w:t>’</w:t>
      </w:r>
      <w:r w:rsidR="003966E2" w:rsidRPr="00A66252">
        <w:rPr>
          <w:lang w:val="fr-FR" w:eastAsia="fr-FR"/>
        </w:rPr>
        <w:t>éloignement d</w:t>
      </w:r>
      <w:r w:rsidR="00A66252" w:rsidRPr="00A66252">
        <w:rPr>
          <w:lang w:val="fr-FR" w:eastAsia="fr-FR"/>
        </w:rPr>
        <w:t>’</w:t>
      </w:r>
      <w:r w:rsidR="003966E2" w:rsidRPr="00A66252">
        <w:rPr>
          <w:lang w:val="fr-FR" w:eastAsia="fr-FR"/>
        </w:rPr>
        <w:t xml:space="preserve">une ressortissante ougandaise </w:t>
      </w:r>
      <w:r w:rsidR="00B942BF" w:rsidRPr="00A66252">
        <w:rPr>
          <w:lang w:val="fr-FR" w:eastAsia="fr-FR"/>
        </w:rPr>
        <w:t xml:space="preserve">malade du sida </w:t>
      </w:r>
      <w:r w:rsidR="003966E2" w:rsidRPr="00A66252">
        <w:rPr>
          <w:lang w:val="fr-FR" w:eastAsia="fr-FR"/>
        </w:rPr>
        <w:t>vers son pays d</w:t>
      </w:r>
      <w:r w:rsidR="00A66252" w:rsidRPr="00A66252">
        <w:rPr>
          <w:lang w:val="fr-FR" w:eastAsia="fr-FR"/>
        </w:rPr>
        <w:t>’</w:t>
      </w:r>
      <w:r w:rsidR="003966E2" w:rsidRPr="00A66252">
        <w:rPr>
          <w:lang w:val="fr-FR" w:eastAsia="fr-FR"/>
        </w:rPr>
        <w:t xml:space="preserve">origine, </w:t>
      </w:r>
      <w:r w:rsidRPr="00A66252">
        <w:rPr>
          <w:lang w:val="fr-FR" w:eastAsia="fr-FR"/>
        </w:rPr>
        <w:t xml:space="preserve">examinant le point de savoir si les circonstances de </w:t>
      </w:r>
      <w:r w:rsidR="00130D4F" w:rsidRPr="00A66252">
        <w:rPr>
          <w:lang w:val="fr-FR" w:eastAsia="fr-FR"/>
        </w:rPr>
        <w:t>l</w:t>
      </w:r>
      <w:r w:rsidR="00A66252" w:rsidRPr="00A66252">
        <w:rPr>
          <w:lang w:val="fr-FR" w:eastAsia="fr-FR"/>
        </w:rPr>
        <w:t>’</w:t>
      </w:r>
      <w:r w:rsidR="00130D4F" w:rsidRPr="00A66252">
        <w:rPr>
          <w:lang w:val="fr-FR" w:eastAsia="fr-FR"/>
        </w:rPr>
        <w:t>espèce</w:t>
      </w:r>
      <w:r w:rsidRPr="00A66252">
        <w:rPr>
          <w:lang w:val="fr-FR" w:eastAsia="fr-FR"/>
        </w:rPr>
        <w:t xml:space="preserve"> </w:t>
      </w:r>
      <w:r w:rsidR="004609F1" w:rsidRPr="00A66252">
        <w:rPr>
          <w:lang w:val="fr-FR" w:eastAsia="fr-FR"/>
        </w:rPr>
        <w:t xml:space="preserve">atteignaient </w:t>
      </w:r>
      <w:r w:rsidRPr="00A66252">
        <w:rPr>
          <w:lang w:val="fr-FR" w:eastAsia="fr-FR"/>
        </w:rPr>
        <w:t>la gravité requise par l</w:t>
      </w:r>
      <w:r w:rsidR="00A66252" w:rsidRPr="00A66252">
        <w:rPr>
          <w:lang w:val="fr-FR" w:eastAsia="fr-FR"/>
        </w:rPr>
        <w:t>’</w:t>
      </w:r>
      <w:r w:rsidRPr="00A66252">
        <w:rPr>
          <w:lang w:val="fr-FR" w:eastAsia="fr-FR"/>
        </w:rPr>
        <w:t>article 3</w:t>
      </w:r>
      <w:r w:rsidR="00A40E59" w:rsidRPr="00A66252">
        <w:rPr>
          <w:lang w:val="fr-FR" w:eastAsia="fr-FR"/>
        </w:rPr>
        <w:t xml:space="preserve"> </w:t>
      </w:r>
      <w:r w:rsidR="00EB40CD" w:rsidRPr="00A66252">
        <w:rPr>
          <w:lang w:val="fr-FR" w:eastAsia="fr-FR"/>
        </w:rPr>
        <w:t>de la Convention</w:t>
      </w:r>
      <w:r w:rsidRPr="00A66252">
        <w:rPr>
          <w:lang w:val="fr-FR" w:eastAsia="fr-FR"/>
        </w:rPr>
        <w:t xml:space="preserve">, la Cour </w:t>
      </w:r>
      <w:r w:rsidR="004609F1" w:rsidRPr="00A66252">
        <w:rPr>
          <w:lang w:val="fr-FR" w:eastAsia="fr-FR"/>
        </w:rPr>
        <w:t xml:space="preserve">a </w:t>
      </w:r>
      <w:r w:rsidR="00A51CEB" w:rsidRPr="00A66252">
        <w:rPr>
          <w:lang w:val="fr-FR" w:eastAsia="fr-FR"/>
        </w:rPr>
        <w:t>rappelé</w:t>
      </w:r>
      <w:r w:rsidR="004609F1" w:rsidRPr="00A66252">
        <w:rPr>
          <w:lang w:val="fr-FR" w:eastAsia="fr-FR"/>
        </w:rPr>
        <w:t xml:space="preserve"> </w:t>
      </w:r>
      <w:r w:rsidR="00F251CA" w:rsidRPr="00A66252">
        <w:rPr>
          <w:lang w:val="fr-FR" w:eastAsia="fr-FR"/>
        </w:rPr>
        <w:t xml:space="preserve">que </w:t>
      </w:r>
      <w:r w:rsidRPr="00A66252">
        <w:rPr>
          <w:lang w:val="fr-FR" w:eastAsia="fr-FR"/>
        </w:rPr>
        <w:t>ni le fait d</w:t>
      </w:r>
      <w:r w:rsidR="00A66252" w:rsidRPr="00A66252">
        <w:rPr>
          <w:lang w:val="fr-FR" w:eastAsia="fr-FR"/>
        </w:rPr>
        <w:t>’</w:t>
      </w:r>
      <w:r w:rsidRPr="00A66252">
        <w:rPr>
          <w:lang w:val="fr-FR" w:eastAsia="fr-FR"/>
        </w:rPr>
        <w:t>ordonner l</w:t>
      </w:r>
      <w:r w:rsidR="00A66252" w:rsidRPr="00A66252">
        <w:rPr>
          <w:lang w:val="fr-FR" w:eastAsia="fr-FR"/>
        </w:rPr>
        <w:t>’</w:t>
      </w:r>
      <w:r w:rsidRPr="00A66252">
        <w:rPr>
          <w:lang w:val="fr-FR" w:eastAsia="fr-FR"/>
        </w:rPr>
        <w:t>expulsion d</w:t>
      </w:r>
      <w:r w:rsidR="00A66252" w:rsidRPr="00A66252">
        <w:rPr>
          <w:lang w:val="fr-FR" w:eastAsia="fr-FR"/>
        </w:rPr>
        <w:t>’</w:t>
      </w:r>
      <w:r w:rsidRPr="00A66252">
        <w:rPr>
          <w:lang w:val="fr-FR" w:eastAsia="fr-FR"/>
        </w:rPr>
        <w:t>un étranger atteint d</w:t>
      </w:r>
      <w:r w:rsidR="00A66252" w:rsidRPr="00A66252">
        <w:rPr>
          <w:lang w:val="fr-FR" w:eastAsia="fr-FR"/>
        </w:rPr>
        <w:t>’</w:t>
      </w:r>
      <w:r w:rsidRPr="00A66252">
        <w:rPr>
          <w:lang w:val="fr-FR" w:eastAsia="fr-FR"/>
        </w:rPr>
        <w:t xml:space="preserve">une maladie grave vers un pays où les moyens de traiter cette maladie </w:t>
      </w:r>
      <w:r w:rsidR="00EB40CD" w:rsidRPr="00A66252">
        <w:rPr>
          <w:lang w:val="fr-FR" w:eastAsia="fr-FR"/>
        </w:rPr>
        <w:t>étaient</w:t>
      </w:r>
      <w:r w:rsidRPr="00A66252">
        <w:rPr>
          <w:lang w:val="fr-FR" w:eastAsia="fr-FR"/>
        </w:rPr>
        <w:t xml:space="preserve"> inférieurs à ceux disponibles dans l</w:t>
      </w:r>
      <w:r w:rsidR="00A66252" w:rsidRPr="00A66252">
        <w:rPr>
          <w:lang w:val="fr-FR" w:eastAsia="fr-FR"/>
        </w:rPr>
        <w:t>’</w:t>
      </w:r>
      <w:r w:rsidRPr="00A66252">
        <w:rPr>
          <w:lang w:val="fr-FR" w:eastAsia="fr-FR"/>
        </w:rPr>
        <w:t xml:space="preserve">État </w:t>
      </w:r>
      <w:r w:rsidR="00130D4F" w:rsidRPr="00A66252">
        <w:rPr>
          <w:lang w:val="fr-FR" w:eastAsia="fr-FR"/>
        </w:rPr>
        <w:t>partie</w:t>
      </w:r>
      <w:r w:rsidR="004609F1" w:rsidRPr="00A66252">
        <w:rPr>
          <w:lang w:val="fr-FR" w:eastAsia="fr-FR"/>
        </w:rPr>
        <w:t>,</w:t>
      </w:r>
      <w:r w:rsidR="00A51CEB" w:rsidRPr="00A66252">
        <w:rPr>
          <w:lang w:val="fr-FR" w:eastAsia="fr-FR"/>
        </w:rPr>
        <w:t xml:space="preserve"> </w:t>
      </w:r>
      <w:r w:rsidRPr="00A66252">
        <w:rPr>
          <w:lang w:val="fr-FR" w:eastAsia="fr-FR"/>
        </w:rPr>
        <w:t>ni le fait que l</w:t>
      </w:r>
      <w:r w:rsidR="00A66252" w:rsidRPr="00A66252">
        <w:rPr>
          <w:lang w:val="fr-FR" w:eastAsia="fr-FR"/>
        </w:rPr>
        <w:t>’</w:t>
      </w:r>
      <w:r w:rsidRPr="00A66252">
        <w:rPr>
          <w:lang w:val="fr-FR" w:eastAsia="fr-FR"/>
        </w:rPr>
        <w:t>intéressé connaîtrait une dégradation importante de sa situation, et notamment une réduction significative de son espérance de vie</w:t>
      </w:r>
      <w:r w:rsidR="00130D4F" w:rsidRPr="00A66252">
        <w:rPr>
          <w:lang w:val="fr-FR" w:eastAsia="fr-FR"/>
        </w:rPr>
        <w:t>,</w:t>
      </w:r>
      <w:r w:rsidRPr="00A66252">
        <w:rPr>
          <w:lang w:val="fr-FR" w:eastAsia="fr-FR"/>
        </w:rPr>
        <w:t xml:space="preserve"> </w:t>
      </w:r>
      <w:r w:rsidR="00226464" w:rsidRPr="00A66252">
        <w:rPr>
          <w:lang w:val="fr-FR" w:eastAsia="fr-FR"/>
        </w:rPr>
        <w:t xml:space="preserve">ne constituaient </w:t>
      </w:r>
      <w:r w:rsidR="00A51CEB" w:rsidRPr="00A66252">
        <w:rPr>
          <w:lang w:val="fr-FR" w:eastAsia="fr-FR"/>
        </w:rPr>
        <w:t xml:space="preserve">en soi </w:t>
      </w:r>
      <w:r w:rsidR="00226464" w:rsidRPr="00A66252">
        <w:rPr>
          <w:lang w:val="fr-FR" w:eastAsia="fr-FR"/>
        </w:rPr>
        <w:t xml:space="preserve">des circonstances </w:t>
      </w:r>
      <w:r w:rsidR="00B97D97" w:rsidRPr="00A66252">
        <w:rPr>
          <w:lang w:val="fr-FR" w:eastAsia="fr-FR"/>
        </w:rPr>
        <w:t xml:space="preserve">« exceptionnelles » </w:t>
      </w:r>
      <w:r w:rsidRPr="00A66252">
        <w:rPr>
          <w:lang w:val="fr-FR" w:eastAsia="fr-FR"/>
        </w:rPr>
        <w:t>suffisante</w:t>
      </w:r>
      <w:r w:rsidR="00226464" w:rsidRPr="00A66252">
        <w:rPr>
          <w:lang w:val="fr-FR" w:eastAsia="fr-FR"/>
        </w:rPr>
        <w:t>s</w:t>
      </w:r>
      <w:r w:rsidRPr="00A66252">
        <w:rPr>
          <w:lang w:val="fr-FR" w:eastAsia="fr-FR"/>
        </w:rPr>
        <w:t xml:space="preserve"> pour em</w:t>
      </w:r>
      <w:r w:rsidR="00815F08" w:rsidRPr="00A66252">
        <w:rPr>
          <w:lang w:val="fr-FR" w:eastAsia="fr-FR"/>
        </w:rPr>
        <w:t>porter violation de l</w:t>
      </w:r>
      <w:r w:rsidR="00A66252" w:rsidRPr="00A66252">
        <w:rPr>
          <w:lang w:val="fr-FR" w:eastAsia="fr-FR"/>
        </w:rPr>
        <w:t>’</w:t>
      </w:r>
      <w:r w:rsidR="00815F08" w:rsidRPr="00A66252">
        <w:rPr>
          <w:lang w:val="fr-FR" w:eastAsia="fr-FR"/>
        </w:rPr>
        <w:t>article 3</w:t>
      </w:r>
      <w:r w:rsidR="00A51CEB" w:rsidRPr="00A66252">
        <w:rPr>
          <w:lang w:val="fr-FR" w:eastAsia="fr-FR"/>
        </w:rPr>
        <w:t xml:space="preserve"> (</w:t>
      </w:r>
      <w:r w:rsidR="003758D4" w:rsidRPr="00A66252">
        <w:rPr>
          <w:i/>
          <w:lang w:val="fr-FR" w:eastAsia="fr-FR"/>
        </w:rPr>
        <w:t>N. c. Royaume-Uni</w:t>
      </w:r>
      <w:r w:rsidR="003758D4" w:rsidRPr="00A66252">
        <w:rPr>
          <w:lang w:val="fr-FR" w:eastAsia="fr-FR"/>
        </w:rPr>
        <w:t xml:space="preserve">, précité, </w:t>
      </w:r>
      <w:r w:rsidR="00A51CEB" w:rsidRPr="00A66252">
        <w:rPr>
          <w:lang w:val="fr-FR" w:eastAsia="fr-FR"/>
        </w:rPr>
        <w:t>§ 42)</w:t>
      </w:r>
      <w:r w:rsidR="00815F08" w:rsidRPr="00A66252">
        <w:rPr>
          <w:lang w:val="fr-FR" w:eastAsia="fr-FR"/>
        </w:rPr>
        <w:t>.</w:t>
      </w:r>
      <w:r w:rsidR="00E23253" w:rsidRPr="00A66252">
        <w:rPr>
          <w:lang w:val="fr-FR"/>
        </w:rPr>
        <w:t xml:space="preserve"> Il faut en effet se garder, selon la Cour, </w:t>
      </w:r>
      <w:r w:rsidR="00E23253" w:rsidRPr="00A66252">
        <w:rPr>
          <w:szCs w:val="24"/>
          <w:lang w:val="fr-FR"/>
        </w:rPr>
        <w:t>de compromettre le juste équilibre inhérent à l</w:t>
      </w:r>
      <w:r w:rsidR="00A66252" w:rsidRPr="00A66252">
        <w:rPr>
          <w:szCs w:val="24"/>
          <w:lang w:val="fr-FR"/>
        </w:rPr>
        <w:t>’</w:t>
      </w:r>
      <w:r w:rsidR="00E23253" w:rsidRPr="00A66252">
        <w:rPr>
          <w:szCs w:val="24"/>
          <w:lang w:val="fr-FR"/>
        </w:rPr>
        <w:t>ensemble de la Convention entre les exigences de l</w:t>
      </w:r>
      <w:r w:rsidR="00A66252" w:rsidRPr="00A66252">
        <w:rPr>
          <w:szCs w:val="24"/>
          <w:lang w:val="fr-FR"/>
        </w:rPr>
        <w:t>’</w:t>
      </w:r>
      <w:r w:rsidR="00E23253" w:rsidRPr="00A66252">
        <w:rPr>
          <w:szCs w:val="24"/>
          <w:lang w:val="fr-FR"/>
        </w:rPr>
        <w:t>intérêt général de la communauté et les impératifs de la sauvegarde des droits fondamentaux de l</w:t>
      </w:r>
      <w:r w:rsidR="00A66252" w:rsidRPr="00A66252">
        <w:rPr>
          <w:szCs w:val="24"/>
          <w:lang w:val="fr-FR"/>
        </w:rPr>
        <w:t>’</w:t>
      </w:r>
      <w:r w:rsidR="00E23253" w:rsidRPr="00A66252">
        <w:rPr>
          <w:szCs w:val="24"/>
          <w:lang w:val="fr-FR"/>
        </w:rPr>
        <w:t>individu</w:t>
      </w:r>
      <w:r w:rsidR="00A51CEB" w:rsidRPr="00A66252">
        <w:rPr>
          <w:szCs w:val="24"/>
          <w:lang w:val="fr-FR"/>
        </w:rPr>
        <w:t>. Conclure le contraire reviendrait à</w:t>
      </w:r>
      <w:r w:rsidR="00E23253" w:rsidRPr="00A66252">
        <w:rPr>
          <w:szCs w:val="24"/>
          <w:lang w:val="fr-FR"/>
        </w:rPr>
        <w:t xml:space="preserve"> faire peser sur les </w:t>
      </w:r>
      <w:r w:rsidR="00800622" w:rsidRPr="00A66252">
        <w:rPr>
          <w:szCs w:val="24"/>
          <w:lang w:val="fr-FR"/>
        </w:rPr>
        <w:t>É</w:t>
      </w:r>
      <w:r w:rsidR="00E23253" w:rsidRPr="00A66252">
        <w:rPr>
          <w:szCs w:val="24"/>
          <w:lang w:val="fr-FR"/>
        </w:rPr>
        <w:t xml:space="preserve">tats une charge trop lourde en </w:t>
      </w:r>
      <w:r w:rsidR="003C014F" w:rsidRPr="00A66252">
        <w:rPr>
          <w:szCs w:val="24"/>
          <w:lang w:val="fr-FR"/>
        </w:rPr>
        <w:t xml:space="preserve">leur </w:t>
      </w:r>
      <w:r w:rsidR="00E23253" w:rsidRPr="00A66252">
        <w:rPr>
          <w:szCs w:val="24"/>
          <w:lang w:val="fr-FR"/>
        </w:rPr>
        <w:t>faisant obligation de pallier les disparités entre leur système de soins et le niveau de traitement existant dans le pays tiers en fournissant des soins de santé gratuits et illimités à tous les étrangers dépourvus du droit de demeurer sur son territoire (</w:t>
      </w:r>
      <w:r w:rsidR="008B441B" w:rsidRPr="00A66252">
        <w:rPr>
          <w:i/>
          <w:szCs w:val="24"/>
          <w:lang w:val="fr-FR"/>
        </w:rPr>
        <w:t>ibidem</w:t>
      </w:r>
      <w:r w:rsidR="003758D4" w:rsidRPr="00A66252">
        <w:rPr>
          <w:szCs w:val="24"/>
          <w:lang w:val="fr-FR"/>
        </w:rPr>
        <w:t xml:space="preserve">, </w:t>
      </w:r>
      <w:r w:rsidR="00E23253" w:rsidRPr="00A66252">
        <w:rPr>
          <w:szCs w:val="24"/>
          <w:lang w:val="fr-FR"/>
        </w:rPr>
        <w:t xml:space="preserve">§ 44). </w:t>
      </w:r>
      <w:r w:rsidR="00E23253" w:rsidRPr="00A66252">
        <w:rPr>
          <w:lang w:val="fr-FR" w:eastAsia="fr-FR"/>
        </w:rPr>
        <w:t>En revanche, i</w:t>
      </w:r>
      <w:r w:rsidR="00A74306" w:rsidRPr="00A66252">
        <w:rPr>
          <w:lang w:val="fr-FR" w:eastAsia="fr-FR"/>
        </w:rPr>
        <w:t>l</w:t>
      </w:r>
      <w:r w:rsidR="00A40E59" w:rsidRPr="00A66252">
        <w:rPr>
          <w:lang w:val="fr-FR" w:eastAsia="fr-FR"/>
        </w:rPr>
        <w:t xml:space="preserve"> </w:t>
      </w:r>
      <w:r w:rsidR="00EB40CD" w:rsidRPr="00A66252">
        <w:rPr>
          <w:lang w:val="fr-FR" w:eastAsia="fr-FR"/>
        </w:rPr>
        <w:t>fallait</w:t>
      </w:r>
      <w:r w:rsidR="00A40E59" w:rsidRPr="00A66252">
        <w:rPr>
          <w:lang w:val="fr-FR" w:eastAsia="fr-FR"/>
        </w:rPr>
        <w:t xml:space="preserve"> avoir égard</w:t>
      </w:r>
      <w:r w:rsidR="00276176" w:rsidRPr="00A66252">
        <w:rPr>
          <w:lang w:val="fr-FR" w:eastAsia="fr-FR"/>
        </w:rPr>
        <w:t xml:space="preserve"> </w:t>
      </w:r>
      <w:r w:rsidR="00A40E59" w:rsidRPr="00A66252">
        <w:rPr>
          <w:lang w:val="fr-FR" w:eastAsia="fr-FR"/>
        </w:rPr>
        <w:t>au fait</w:t>
      </w:r>
      <w:r w:rsidR="003E5199" w:rsidRPr="00A66252">
        <w:rPr>
          <w:lang w:val="fr-FR"/>
        </w:rPr>
        <w:t xml:space="preserve"> </w:t>
      </w:r>
      <w:r w:rsidR="00A40E59" w:rsidRPr="00A66252">
        <w:rPr>
          <w:lang w:val="fr-FR"/>
        </w:rPr>
        <w:t xml:space="preserve">que </w:t>
      </w:r>
      <w:r w:rsidR="00806EA1" w:rsidRPr="00A66252">
        <w:rPr>
          <w:lang w:val="fr-FR"/>
        </w:rPr>
        <w:t>l</w:t>
      </w:r>
      <w:r w:rsidR="00A66252" w:rsidRPr="00A66252">
        <w:rPr>
          <w:lang w:val="fr-FR"/>
        </w:rPr>
        <w:t>’</w:t>
      </w:r>
      <w:r w:rsidR="00806EA1" w:rsidRPr="00A66252">
        <w:rPr>
          <w:lang w:val="fr-FR"/>
        </w:rPr>
        <w:t xml:space="preserve">état de la requérante </w:t>
      </w:r>
      <w:r w:rsidR="00F12ED3" w:rsidRPr="00A66252">
        <w:rPr>
          <w:lang w:val="fr-FR"/>
        </w:rPr>
        <w:t>n</w:t>
      </w:r>
      <w:r w:rsidR="00A66252" w:rsidRPr="00A66252">
        <w:rPr>
          <w:lang w:val="fr-FR"/>
        </w:rPr>
        <w:t>’</w:t>
      </w:r>
      <w:r w:rsidR="00F12ED3" w:rsidRPr="00A66252">
        <w:rPr>
          <w:lang w:val="fr-FR"/>
        </w:rPr>
        <w:t>était pas critique</w:t>
      </w:r>
      <w:r w:rsidR="000F0671" w:rsidRPr="00A66252">
        <w:rPr>
          <w:lang w:val="fr-FR"/>
        </w:rPr>
        <w:t xml:space="preserve"> et</w:t>
      </w:r>
      <w:r w:rsidR="00F12ED3" w:rsidRPr="00A66252">
        <w:rPr>
          <w:lang w:val="fr-FR"/>
        </w:rPr>
        <w:t xml:space="preserve"> </w:t>
      </w:r>
      <w:r w:rsidR="00806EA1" w:rsidRPr="00A66252">
        <w:rPr>
          <w:lang w:val="fr-FR"/>
        </w:rPr>
        <w:t>était stable</w:t>
      </w:r>
      <w:r w:rsidR="003E5199" w:rsidRPr="00A66252">
        <w:rPr>
          <w:lang w:val="fr-FR"/>
        </w:rPr>
        <w:t xml:space="preserve"> grâce au traitement antirétroviral dont elle bénéficiait au Royaume-Uni</w:t>
      </w:r>
      <w:r w:rsidR="00806EA1" w:rsidRPr="00A66252">
        <w:rPr>
          <w:lang w:val="fr-FR"/>
        </w:rPr>
        <w:t xml:space="preserve">, </w:t>
      </w:r>
      <w:r w:rsidR="00A40E59" w:rsidRPr="00A66252">
        <w:rPr>
          <w:lang w:val="fr-FR"/>
        </w:rPr>
        <w:t>qu</w:t>
      </w:r>
      <w:r w:rsidR="00A66252" w:rsidRPr="00A66252">
        <w:rPr>
          <w:lang w:val="fr-FR"/>
        </w:rPr>
        <w:t>’</w:t>
      </w:r>
      <w:r w:rsidR="00A40E59" w:rsidRPr="00A66252">
        <w:rPr>
          <w:lang w:val="fr-FR"/>
        </w:rPr>
        <w:t xml:space="preserve">elle </w:t>
      </w:r>
      <w:r w:rsidR="00806EA1" w:rsidRPr="00A66252">
        <w:rPr>
          <w:lang w:val="fr-FR"/>
        </w:rPr>
        <w:t xml:space="preserve">était apte à voyager et </w:t>
      </w:r>
      <w:r w:rsidR="00A40E59" w:rsidRPr="00A66252">
        <w:rPr>
          <w:lang w:val="fr-FR"/>
        </w:rPr>
        <w:t xml:space="preserve">que </w:t>
      </w:r>
      <w:r w:rsidR="00806EA1" w:rsidRPr="00A66252">
        <w:rPr>
          <w:lang w:val="fr-FR"/>
        </w:rPr>
        <w:t>son état ne se détériorerait pas tant qu</w:t>
      </w:r>
      <w:r w:rsidR="00A66252" w:rsidRPr="00A66252">
        <w:rPr>
          <w:lang w:val="fr-FR"/>
        </w:rPr>
        <w:t>’</w:t>
      </w:r>
      <w:r w:rsidR="00806EA1" w:rsidRPr="00A66252">
        <w:rPr>
          <w:lang w:val="fr-FR"/>
        </w:rPr>
        <w:t>elle continuerait à prendre le traitement dont elle avait besoin</w:t>
      </w:r>
      <w:r w:rsidR="00B32D6C" w:rsidRPr="00A66252">
        <w:rPr>
          <w:lang w:val="fr-FR"/>
        </w:rPr>
        <w:t xml:space="preserve"> (</w:t>
      </w:r>
      <w:r w:rsidR="008B441B" w:rsidRPr="00A66252">
        <w:rPr>
          <w:i/>
          <w:lang w:val="fr-FR"/>
        </w:rPr>
        <w:t>ibidem</w:t>
      </w:r>
      <w:r w:rsidR="003758D4" w:rsidRPr="00A66252">
        <w:rPr>
          <w:lang w:val="fr-FR"/>
        </w:rPr>
        <w:t xml:space="preserve">, </w:t>
      </w:r>
      <w:r w:rsidR="00B32D6C" w:rsidRPr="00A66252">
        <w:rPr>
          <w:lang w:val="fr-FR"/>
        </w:rPr>
        <w:t>§ </w:t>
      </w:r>
      <w:r w:rsidR="00A40E59" w:rsidRPr="00A66252">
        <w:rPr>
          <w:lang w:val="fr-FR"/>
        </w:rPr>
        <w:t>47).</w:t>
      </w:r>
      <w:r w:rsidR="00276176" w:rsidRPr="00A66252">
        <w:rPr>
          <w:lang w:val="fr-FR"/>
        </w:rPr>
        <w:t xml:space="preserve"> </w:t>
      </w:r>
      <w:r w:rsidR="00A74870" w:rsidRPr="00A66252">
        <w:rPr>
          <w:lang w:val="fr-FR"/>
        </w:rPr>
        <w:t xml:space="preserve">La Cour </w:t>
      </w:r>
      <w:r w:rsidR="00A51CEB" w:rsidRPr="00A66252">
        <w:rPr>
          <w:lang w:val="fr-FR"/>
        </w:rPr>
        <w:t xml:space="preserve">a </w:t>
      </w:r>
      <w:r w:rsidR="00A74870" w:rsidRPr="00A66252">
        <w:rPr>
          <w:lang w:val="fr-FR"/>
        </w:rPr>
        <w:t>considér</w:t>
      </w:r>
      <w:r w:rsidR="00A51CEB" w:rsidRPr="00A66252">
        <w:rPr>
          <w:lang w:val="fr-FR"/>
        </w:rPr>
        <w:t>é</w:t>
      </w:r>
      <w:r w:rsidR="00A74870" w:rsidRPr="00A66252">
        <w:rPr>
          <w:lang w:val="fr-FR"/>
        </w:rPr>
        <w:t xml:space="preserve"> qu</w:t>
      </w:r>
      <w:r w:rsidR="00A66252" w:rsidRPr="00A66252">
        <w:rPr>
          <w:lang w:val="fr-FR"/>
        </w:rPr>
        <w:t>’</w:t>
      </w:r>
      <w:r w:rsidR="00A74870" w:rsidRPr="00A66252">
        <w:rPr>
          <w:lang w:val="fr-FR"/>
        </w:rPr>
        <w:t xml:space="preserve">il fallait également tenir compte </w:t>
      </w:r>
      <w:r w:rsidR="004609F1" w:rsidRPr="00A66252">
        <w:rPr>
          <w:lang w:val="fr-FR"/>
        </w:rPr>
        <w:t xml:space="preserve">du fait </w:t>
      </w:r>
      <w:r w:rsidR="00A74870" w:rsidRPr="00A66252">
        <w:rPr>
          <w:lang w:val="fr-FR"/>
        </w:rPr>
        <w:t>que l</w:t>
      </w:r>
      <w:r w:rsidR="00A66252" w:rsidRPr="00A66252">
        <w:rPr>
          <w:lang w:val="fr-FR"/>
        </w:rPr>
        <w:t>’</w:t>
      </w:r>
      <w:r w:rsidR="00A74870" w:rsidRPr="00A66252">
        <w:rPr>
          <w:lang w:val="fr-FR"/>
        </w:rPr>
        <w:t xml:space="preserve">appréciation de la rapidité avec laquelle </w:t>
      </w:r>
      <w:r w:rsidR="00130D4F" w:rsidRPr="00A66252">
        <w:rPr>
          <w:lang w:val="fr-FR"/>
        </w:rPr>
        <w:t>l</w:t>
      </w:r>
      <w:r w:rsidR="00A66252" w:rsidRPr="00A66252">
        <w:rPr>
          <w:lang w:val="fr-FR"/>
        </w:rPr>
        <w:t>’</w:t>
      </w:r>
      <w:r w:rsidR="00A74870" w:rsidRPr="00A66252">
        <w:rPr>
          <w:lang w:val="fr-FR"/>
        </w:rPr>
        <w:t xml:space="preserve">état </w:t>
      </w:r>
      <w:r w:rsidR="00130D4F" w:rsidRPr="00A66252">
        <w:rPr>
          <w:lang w:val="fr-FR"/>
        </w:rPr>
        <w:t xml:space="preserve">de la requérante </w:t>
      </w:r>
      <w:r w:rsidR="00A74870" w:rsidRPr="00A66252">
        <w:rPr>
          <w:lang w:val="fr-FR"/>
        </w:rPr>
        <w:t xml:space="preserve">se dégraderait dans son pays </w:t>
      </w:r>
      <w:r w:rsidR="00712647" w:rsidRPr="00A66252">
        <w:rPr>
          <w:lang w:val="fr-FR"/>
        </w:rPr>
        <w:t>de destination</w:t>
      </w:r>
      <w:r w:rsidR="00A74870" w:rsidRPr="00A66252">
        <w:rPr>
          <w:lang w:val="fr-FR"/>
        </w:rPr>
        <w:t xml:space="preserve"> et de la mesure dans laquelle elle pourrait y obtenir un traitement médical, un soutien et des soins, y compris l</w:t>
      </w:r>
      <w:r w:rsidR="00A66252" w:rsidRPr="00A66252">
        <w:rPr>
          <w:lang w:val="fr-FR"/>
        </w:rPr>
        <w:t>’</w:t>
      </w:r>
      <w:r w:rsidR="00A74870" w:rsidRPr="00A66252">
        <w:rPr>
          <w:lang w:val="fr-FR"/>
        </w:rPr>
        <w:t xml:space="preserve">aide de proches </w:t>
      </w:r>
      <w:r w:rsidR="00A74870" w:rsidRPr="00A66252">
        <w:rPr>
          <w:lang w:val="fr-FR"/>
        </w:rPr>
        <w:lastRenderedPageBreak/>
        <w:t>parents, comportait nécessairement une part de spéculation, eu égard en particulier à l</w:t>
      </w:r>
      <w:r w:rsidR="00A66252" w:rsidRPr="00A66252">
        <w:rPr>
          <w:lang w:val="fr-FR"/>
        </w:rPr>
        <w:t>’</w:t>
      </w:r>
      <w:r w:rsidR="00A74870" w:rsidRPr="00A66252">
        <w:rPr>
          <w:lang w:val="fr-FR"/>
        </w:rPr>
        <w:t>évolution constante de la situation en matière de traitement du sida dans le m</w:t>
      </w:r>
      <w:r w:rsidR="00130D4F" w:rsidRPr="00A66252">
        <w:rPr>
          <w:lang w:val="fr-FR"/>
        </w:rPr>
        <w:t>onde (</w:t>
      </w:r>
      <w:r w:rsidR="008B441B" w:rsidRPr="00A66252">
        <w:rPr>
          <w:i/>
          <w:lang w:val="fr-FR"/>
        </w:rPr>
        <w:t>ibidem</w:t>
      </w:r>
      <w:r w:rsidR="003758D4" w:rsidRPr="00A66252">
        <w:rPr>
          <w:lang w:val="fr-FR"/>
        </w:rPr>
        <w:t xml:space="preserve">, </w:t>
      </w:r>
      <w:r w:rsidR="00130D4F" w:rsidRPr="00A66252">
        <w:rPr>
          <w:lang w:val="fr-FR"/>
        </w:rPr>
        <w:t>§</w:t>
      </w:r>
      <w:r w:rsidR="00A74870" w:rsidRPr="00A66252">
        <w:rPr>
          <w:lang w:val="fr-FR"/>
        </w:rPr>
        <w:t xml:space="preserve"> 50).</w:t>
      </w:r>
      <w:r w:rsidR="00505975" w:rsidRPr="00A66252">
        <w:rPr>
          <w:lang w:val="fr-FR"/>
        </w:rPr>
        <w:t xml:space="preserve"> La Cour </w:t>
      </w:r>
      <w:r w:rsidR="00A51CEB" w:rsidRPr="00A66252">
        <w:rPr>
          <w:lang w:val="fr-FR"/>
        </w:rPr>
        <w:t xml:space="preserve">a </w:t>
      </w:r>
      <w:r w:rsidR="00505975" w:rsidRPr="00A66252">
        <w:rPr>
          <w:lang w:val="fr-FR"/>
        </w:rPr>
        <w:t>conclu que la mise à exécution de la décision d</w:t>
      </w:r>
      <w:r w:rsidR="00A66252" w:rsidRPr="00A66252">
        <w:rPr>
          <w:lang w:val="fr-FR"/>
        </w:rPr>
        <w:t>’</w:t>
      </w:r>
      <w:r w:rsidR="00505975" w:rsidRPr="00A66252">
        <w:rPr>
          <w:lang w:val="fr-FR"/>
        </w:rPr>
        <w:t>expulser la requérante n</w:t>
      </w:r>
      <w:r w:rsidR="00A66252" w:rsidRPr="00A66252">
        <w:rPr>
          <w:lang w:val="fr-FR"/>
        </w:rPr>
        <w:t>’</w:t>
      </w:r>
      <w:r w:rsidR="00505975" w:rsidRPr="00A66252">
        <w:rPr>
          <w:lang w:val="fr-FR"/>
        </w:rPr>
        <w:t>emporterait pas violation de l</w:t>
      </w:r>
      <w:r w:rsidR="00A66252" w:rsidRPr="00A66252">
        <w:rPr>
          <w:lang w:val="fr-FR"/>
        </w:rPr>
        <w:t>’</w:t>
      </w:r>
      <w:r w:rsidR="00505975" w:rsidRPr="00A66252">
        <w:rPr>
          <w:lang w:val="fr-FR"/>
        </w:rPr>
        <w:t>article 3 de la Convention (</w:t>
      </w:r>
      <w:r w:rsidR="008B441B" w:rsidRPr="00A66252">
        <w:rPr>
          <w:i/>
          <w:lang w:val="fr-FR"/>
        </w:rPr>
        <w:t>ibidem</w:t>
      </w:r>
      <w:r w:rsidR="003758D4" w:rsidRPr="00A66252">
        <w:rPr>
          <w:lang w:val="fr-FR"/>
        </w:rPr>
        <w:t xml:space="preserve">, </w:t>
      </w:r>
      <w:r w:rsidR="00505975" w:rsidRPr="00A66252">
        <w:rPr>
          <w:lang w:val="fr-FR"/>
        </w:rPr>
        <w:t>§ 51).</w:t>
      </w:r>
      <w:r w:rsidR="00FA53F0" w:rsidRPr="00A66252">
        <w:rPr>
          <w:lang w:val="fr-FR"/>
        </w:rPr>
        <w:t xml:space="preserve"> </w:t>
      </w:r>
      <w:r w:rsidR="00C478E8" w:rsidRPr="00A66252">
        <w:rPr>
          <w:lang w:val="fr-FR" w:eastAsia="fr-FR"/>
        </w:rPr>
        <w:t xml:space="preserve">Elle </w:t>
      </w:r>
      <w:r w:rsidR="00A51CEB" w:rsidRPr="00A66252">
        <w:rPr>
          <w:lang w:val="fr-FR" w:eastAsia="fr-FR"/>
        </w:rPr>
        <w:t xml:space="preserve">a toutefois </w:t>
      </w:r>
      <w:r w:rsidR="00B0458C" w:rsidRPr="00A66252">
        <w:rPr>
          <w:lang w:val="fr-FR" w:eastAsia="fr-FR"/>
        </w:rPr>
        <w:t>précis</w:t>
      </w:r>
      <w:r w:rsidR="00A51CEB" w:rsidRPr="00A66252">
        <w:rPr>
          <w:lang w:val="fr-FR" w:eastAsia="fr-FR"/>
        </w:rPr>
        <w:t>é</w:t>
      </w:r>
      <w:r w:rsidR="00B97D97" w:rsidRPr="00A66252">
        <w:rPr>
          <w:lang w:val="fr-FR" w:eastAsia="fr-FR"/>
        </w:rPr>
        <w:t xml:space="preserve"> qu</w:t>
      </w:r>
      <w:r w:rsidR="00A66252" w:rsidRPr="00A66252">
        <w:rPr>
          <w:lang w:val="fr-FR" w:eastAsia="fr-FR"/>
        </w:rPr>
        <w:t>’</w:t>
      </w:r>
      <w:r w:rsidR="00B97D97" w:rsidRPr="00A66252">
        <w:rPr>
          <w:lang w:val="fr-FR" w:eastAsia="fr-FR"/>
        </w:rPr>
        <w:t xml:space="preserve">à </w:t>
      </w:r>
      <w:r w:rsidR="00300348" w:rsidRPr="00A66252">
        <w:rPr>
          <w:lang w:val="fr-FR" w:eastAsia="fr-FR"/>
        </w:rPr>
        <w:t>côté d</w:t>
      </w:r>
      <w:r w:rsidR="00454896" w:rsidRPr="00A66252">
        <w:rPr>
          <w:lang w:val="fr-FR" w:eastAsia="fr-FR"/>
        </w:rPr>
        <w:t>es situations de décès imminent</w:t>
      </w:r>
      <w:r w:rsidR="00300348" w:rsidRPr="00A66252">
        <w:rPr>
          <w:lang w:val="fr-FR" w:eastAsia="fr-FR"/>
        </w:rPr>
        <w:t xml:space="preserve"> envisagées dans l</w:t>
      </w:r>
      <w:r w:rsidR="00A66252" w:rsidRPr="00A66252">
        <w:rPr>
          <w:lang w:val="fr-FR" w:eastAsia="fr-FR"/>
        </w:rPr>
        <w:t>’</w:t>
      </w:r>
      <w:r w:rsidR="00300348" w:rsidRPr="00A66252">
        <w:rPr>
          <w:lang w:val="fr-FR" w:eastAsia="fr-FR"/>
        </w:rPr>
        <w:t xml:space="preserve">affaire </w:t>
      </w:r>
      <w:r w:rsidR="00D25470" w:rsidRPr="00A66252">
        <w:rPr>
          <w:i/>
          <w:lang w:val="fr-FR" w:eastAsia="fr-FR"/>
        </w:rPr>
        <w:t>D. </w:t>
      </w:r>
      <w:r w:rsidR="003524BE" w:rsidRPr="00A66252">
        <w:rPr>
          <w:i/>
          <w:lang w:val="fr-FR" w:eastAsia="fr-FR"/>
        </w:rPr>
        <w:t>c. </w:t>
      </w:r>
      <w:r w:rsidR="00300348" w:rsidRPr="00A66252">
        <w:rPr>
          <w:i/>
          <w:lang w:val="fr-FR" w:eastAsia="fr-FR"/>
        </w:rPr>
        <w:t>Royaume-Uni</w:t>
      </w:r>
      <w:r w:rsidR="00454896" w:rsidRPr="00A66252">
        <w:rPr>
          <w:lang w:val="fr-FR" w:eastAsia="fr-FR"/>
        </w:rPr>
        <w:t xml:space="preserve">, il </w:t>
      </w:r>
      <w:r w:rsidR="00B97D97" w:rsidRPr="00A66252">
        <w:rPr>
          <w:lang w:val="fr-FR" w:eastAsia="fr-FR"/>
        </w:rPr>
        <w:t xml:space="preserve">pouvait exister </w:t>
      </w:r>
      <w:r w:rsidR="00454896" w:rsidRPr="00A66252">
        <w:rPr>
          <w:lang w:val="fr-FR" w:eastAsia="fr-FR"/>
        </w:rPr>
        <w:t>d</w:t>
      </w:r>
      <w:r w:rsidR="00A66252" w:rsidRPr="00A66252">
        <w:rPr>
          <w:lang w:val="fr-FR" w:eastAsia="fr-FR"/>
        </w:rPr>
        <w:t>’</w:t>
      </w:r>
      <w:r w:rsidR="00454896" w:rsidRPr="00A66252">
        <w:rPr>
          <w:lang w:val="fr-FR" w:eastAsia="fr-FR"/>
        </w:rPr>
        <w:t xml:space="preserve">autres cas </w:t>
      </w:r>
      <w:r w:rsidR="004609F1" w:rsidRPr="00A66252">
        <w:rPr>
          <w:lang w:val="fr-FR" w:eastAsia="fr-FR"/>
        </w:rPr>
        <w:t xml:space="preserve">très exceptionnels </w:t>
      </w:r>
      <w:r w:rsidR="00454896" w:rsidRPr="00A66252">
        <w:rPr>
          <w:lang w:val="fr-FR" w:eastAsia="fr-FR"/>
        </w:rPr>
        <w:t>d</w:t>
      </w:r>
      <w:r w:rsidR="00A66252" w:rsidRPr="00A66252">
        <w:rPr>
          <w:lang w:val="fr-FR" w:eastAsia="fr-FR"/>
        </w:rPr>
        <w:t>’</w:t>
      </w:r>
      <w:r w:rsidR="009D0457" w:rsidRPr="00A66252">
        <w:rPr>
          <w:lang w:val="fr-FR" w:eastAsia="fr-FR"/>
        </w:rPr>
        <w:t>éloignement</w:t>
      </w:r>
      <w:r w:rsidR="00B97D97" w:rsidRPr="00A66252">
        <w:rPr>
          <w:lang w:val="fr-FR" w:eastAsia="fr-FR"/>
        </w:rPr>
        <w:t xml:space="preserve"> </w:t>
      </w:r>
      <w:r w:rsidR="009D0457" w:rsidRPr="00A66252">
        <w:rPr>
          <w:lang w:val="fr-FR" w:eastAsia="fr-FR"/>
        </w:rPr>
        <w:t>dans lesquel</w:t>
      </w:r>
      <w:r w:rsidR="001472F1" w:rsidRPr="00A66252">
        <w:rPr>
          <w:lang w:val="fr-FR" w:eastAsia="fr-FR"/>
        </w:rPr>
        <w:t xml:space="preserve">s </w:t>
      </w:r>
      <w:r w:rsidR="00B97D97" w:rsidRPr="00A66252">
        <w:rPr>
          <w:lang w:val="fr-FR" w:eastAsia="fr-FR"/>
        </w:rPr>
        <w:t>pouvaient</w:t>
      </w:r>
      <w:r w:rsidR="001472F1" w:rsidRPr="00A66252">
        <w:rPr>
          <w:lang w:val="fr-FR" w:eastAsia="fr-FR"/>
        </w:rPr>
        <w:t xml:space="preserve"> entrer en jeu des </w:t>
      </w:r>
      <w:r w:rsidR="00414880" w:rsidRPr="00A66252">
        <w:rPr>
          <w:lang w:val="fr-FR" w:eastAsia="fr-FR"/>
        </w:rPr>
        <w:t>considérations humanitaires tout aussi impérieuses</w:t>
      </w:r>
      <w:r w:rsidR="00734BD9" w:rsidRPr="00A66252">
        <w:rPr>
          <w:lang w:val="fr-FR" w:eastAsia="fr-FR"/>
        </w:rPr>
        <w:t xml:space="preserve"> s</w:t>
      </w:r>
      <w:r w:rsidR="00A66252" w:rsidRPr="00A66252">
        <w:rPr>
          <w:lang w:val="fr-FR" w:eastAsia="fr-FR"/>
        </w:rPr>
        <w:t>’</w:t>
      </w:r>
      <w:r w:rsidR="00734BD9" w:rsidRPr="00A66252">
        <w:rPr>
          <w:lang w:val="fr-FR" w:eastAsia="fr-FR"/>
        </w:rPr>
        <w:t>oppos</w:t>
      </w:r>
      <w:r w:rsidR="001472F1" w:rsidRPr="00A66252">
        <w:rPr>
          <w:lang w:val="fr-FR" w:eastAsia="fr-FR"/>
        </w:rPr>
        <w:t>a</w:t>
      </w:r>
      <w:r w:rsidR="00734BD9" w:rsidRPr="00A66252">
        <w:rPr>
          <w:lang w:val="fr-FR" w:eastAsia="fr-FR"/>
        </w:rPr>
        <w:t>nt à l</w:t>
      </w:r>
      <w:r w:rsidR="00A66252" w:rsidRPr="00A66252">
        <w:rPr>
          <w:lang w:val="fr-FR" w:eastAsia="fr-FR"/>
        </w:rPr>
        <w:t>’</w:t>
      </w:r>
      <w:r w:rsidR="00734BD9" w:rsidRPr="00A66252">
        <w:rPr>
          <w:lang w:val="fr-FR" w:eastAsia="fr-FR"/>
        </w:rPr>
        <w:t xml:space="preserve">éloignement </w:t>
      </w:r>
      <w:r w:rsidR="00454896" w:rsidRPr="00A66252">
        <w:rPr>
          <w:lang w:val="fr-FR" w:eastAsia="fr-FR"/>
        </w:rPr>
        <w:t>d</w:t>
      </w:r>
      <w:r w:rsidR="008F21D7" w:rsidRPr="00A66252">
        <w:rPr>
          <w:lang w:val="fr-FR" w:eastAsia="fr-FR"/>
        </w:rPr>
        <w:t xml:space="preserve">es intéressés </w:t>
      </w:r>
      <w:r w:rsidR="00414880" w:rsidRPr="00A66252">
        <w:rPr>
          <w:lang w:val="fr-FR" w:eastAsia="fr-FR"/>
        </w:rPr>
        <w:t>(</w:t>
      </w:r>
      <w:r w:rsidR="003758D4" w:rsidRPr="00A66252">
        <w:rPr>
          <w:i/>
          <w:lang w:val="fr-FR" w:eastAsia="fr-FR"/>
        </w:rPr>
        <w:t>D</w:t>
      </w:r>
      <w:r w:rsidR="003758D4" w:rsidRPr="00A66252">
        <w:rPr>
          <w:lang w:val="fr-FR" w:eastAsia="fr-FR"/>
        </w:rPr>
        <w:t xml:space="preserve">. </w:t>
      </w:r>
      <w:r w:rsidR="003758D4" w:rsidRPr="00A66252">
        <w:rPr>
          <w:i/>
          <w:lang w:val="fr-FR" w:eastAsia="fr-FR"/>
        </w:rPr>
        <w:t>c. Royaume-Uni</w:t>
      </w:r>
      <w:r w:rsidR="003758D4" w:rsidRPr="00A66252">
        <w:rPr>
          <w:lang w:val="fr-FR" w:eastAsia="fr-FR"/>
        </w:rPr>
        <w:t xml:space="preserve">, précité, </w:t>
      </w:r>
      <w:r w:rsidR="00414880" w:rsidRPr="00A66252">
        <w:rPr>
          <w:lang w:val="fr-FR" w:eastAsia="fr-FR"/>
        </w:rPr>
        <w:t>§ 43).</w:t>
      </w:r>
      <w:r w:rsidR="005E244F" w:rsidRPr="00A66252">
        <w:rPr>
          <w:lang w:val="fr-FR" w:eastAsia="fr-FR"/>
        </w:rPr>
        <w:t xml:space="preserve"> </w:t>
      </w:r>
      <w:r w:rsidR="00EA67F0" w:rsidRPr="00A66252">
        <w:rPr>
          <w:lang w:val="fr-FR" w:eastAsia="fr-FR"/>
        </w:rPr>
        <w:t>L</w:t>
      </w:r>
      <w:r w:rsidR="00A66252" w:rsidRPr="00A66252">
        <w:rPr>
          <w:lang w:val="fr-FR" w:eastAsia="fr-FR"/>
        </w:rPr>
        <w:t>’</w:t>
      </w:r>
      <w:r w:rsidR="00EA67F0" w:rsidRPr="00A66252">
        <w:rPr>
          <w:lang w:val="fr-FR" w:eastAsia="fr-FR"/>
        </w:rPr>
        <w:t>examen de la jurisprudence postérieure à l</w:t>
      </w:r>
      <w:r w:rsidR="00A66252" w:rsidRPr="00A66252">
        <w:rPr>
          <w:lang w:val="fr-FR" w:eastAsia="fr-FR"/>
        </w:rPr>
        <w:t>’</w:t>
      </w:r>
      <w:r w:rsidR="00EA67F0" w:rsidRPr="00A66252">
        <w:rPr>
          <w:lang w:val="fr-FR" w:eastAsia="fr-FR"/>
        </w:rPr>
        <w:t xml:space="preserve">arrêt </w:t>
      </w:r>
      <w:r w:rsidR="00D25470" w:rsidRPr="00A66252">
        <w:rPr>
          <w:i/>
          <w:lang w:val="fr-FR" w:eastAsia="fr-FR"/>
        </w:rPr>
        <w:t>N. </w:t>
      </w:r>
      <w:r w:rsidR="003524BE" w:rsidRPr="00A66252">
        <w:rPr>
          <w:i/>
          <w:lang w:val="fr-FR" w:eastAsia="fr-FR"/>
        </w:rPr>
        <w:t>c. </w:t>
      </w:r>
      <w:r w:rsidR="00EA67F0" w:rsidRPr="00A66252">
        <w:rPr>
          <w:i/>
          <w:lang w:val="fr-FR" w:eastAsia="fr-FR"/>
        </w:rPr>
        <w:t>Royaume-Uni</w:t>
      </w:r>
      <w:r w:rsidR="00EA67F0" w:rsidRPr="00A66252">
        <w:rPr>
          <w:lang w:val="fr-FR" w:eastAsia="fr-FR"/>
        </w:rPr>
        <w:t xml:space="preserve"> n</w:t>
      </w:r>
      <w:r w:rsidR="00A66252" w:rsidRPr="00A66252">
        <w:rPr>
          <w:lang w:val="fr-FR" w:eastAsia="fr-FR"/>
        </w:rPr>
        <w:t>’</w:t>
      </w:r>
      <w:r w:rsidR="00EA67F0" w:rsidRPr="00A66252">
        <w:rPr>
          <w:lang w:val="fr-FR" w:eastAsia="fr-FR"/>
        </w:rPr>
        <w:t>a révélé aucun exemple dans ce sens.</w:t>
      </w:r>
    </w:p>
    <w:p w:rsidR="00D266C6" w:rsidRPr="00A66252" w:rsidRDefault="004408DF" w:rsidP="00A66252">
      <w:pPr>
        <w:pStyle w:val="ECHRPara"/>
        <w:rPr>
          <w:i/>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179</w:t>
      </w:r>
      <w:r w:rsidRPr="00A66252">
        <w:rPr>
          <w:lang w:val="fr-FR" w:eastAsia="fr-FR"/>
        </w:rPr>
        <w:fldChar w:fldCharType="end"/>
      </w:r>
      <w:r w:rsidRPr="00A66252">
        <w:rPr>
          <w:lang w:val="fr-FR" w:eastAsia="fr-FR"/>
        </w:rPr>
        <w:t>.  </w:t>
      </w:r>
      <w:r w:rsidR="00EA67F0" w:rsidRPr="00A66252">
        <w:rPr>
          <w:lang w:val="fr-FR" w:eastAsia="fr-FR"/>
        </w:rPr>
        <w:t>La Cour</w:t>
      </w:r>
      <w:r w:rsidR="001535A3" w:rsidRPr="00A66252">
        <w:rPr>
          <w:lang w:val="fr-FR" w:eastAsia="fr-FR"/>
        </w:rPr>
        <w:t xml:space="preserve"> a </w:t>
      </w:r>
      <w:r w:rsidR="00FA53F0" w:rsidRPr="00A66252">
        <w:rPr>
          <w:lang w:val="fr-FR" w:eastAsia="fr-FR"/>
        </w:rPr>
        <w:t xml:space="preserve">appliqué </w:t>
      </w:r>
      <w:r w:rsidR="00EA67F0" w:rsidRPr="00A66252">
        <w:rPr>
          <w:lang w:val="fr-FR" w:eastAsia="fr-FR"/>
        </w:rPr>
        <w:t>la</w:t>
      </w:r>
      <w:r w:rsidR="00FA53F0" w:rsidRPr="00A66252">
        <w:rPr>
          <w:lang w:val="fr-FR" w:eastAsia="fr-FR"/>
        </w:rPr>
        <w:t xml:space="preserve"> jurisprudence </w:t>
      </w:r>
      <w:r w:rsidR="00EA67F0" w:rsidRPr="00A66252">
        <w:rPr>
          <w:i/>
          <w:lang w:val="fr-FR" w:eastAsia="fr-FR"/>
        </w:rPr>
        <w:t>N. c. Royaume-Uni</w:t>
      </w:r>
      <w:r w:rsidR="00EA67F0" w:rsidRPr="00A66252">
        <w:rPr>
          <w:lang w:val="fr-FR" w:eastAsia="fr-FR"/>
        </w:rPr>
        <w:t xml:space="preserve"> </w:t>
      </w:r>
      <w:r w:rsidR="009F6A3E" w:rsidRPr="00A66252">
        <w:rPr>
          <w:lang w:val="fr-FR" w:eastAsia="fr-FR"/>
        </w:rPr>
        <w:t>pour déclarer irrecevables pour défaut manifeste de fondement de nombreuses</w:t>
      </w:r>
      <w:r w:rsidR="000F2379" w:rsidRPr="00A66252">
        <w:rPr>
          <w:lang w:val="fr-FR" w:eastAsia="fr-FR"/>
        </w:rPr>
        <w:t xml:space="preserve"> requête</w:t>
      </w:r>
      <w:r w:rsidR="009F6A3E" w:rsidRPr="00A66252">
        <w:rPr>
          <w:lang w:val="fr-FR" w:eastAsia="fr-FR"/>
        </w:rPr>
        <w:t>s</w:t>
      </w:r>
      <w:r w:rsidR="00734BD9" w:rsidRPr="00A66252">
        <w:rPr>
          <w:lang w:val="fr-FR" w:eastAsia="fr-FR"/>
        </w:rPr>
        <w:t xml:space="preserve"> soulevant des questions </w:t>
      </w:r>
      <w:r w:rsidR="004D6A77" w:rsidRPr="00A66252">
        <w:rPr>
          <w:lang w:val="fr-FR" w:eastAsia="fr-FR"/>
        </w:rPr>
        <w:t xml:space="preserve">du même ordre </w:t>
      </w:r>
      <w:r w:rsidR="00734BD9" w:rsidRPr="00A66252">
        <w:rPr>
          <w:lang w:val="fr-FR" w:eastAsia="fr-FR"/>
        </w:rPr>
        <w:t>– qu</w:t>
      </w:r>
      <w:r w:rsidR="00A66252" w:rsidRPr="00A66252">
        <w:rPr>
          <w:lang w:val="fr-FR" w:eastAsia="fr-FR"/>
        </w:rPr>
        <w:t>’</w:t>
      </w:r>
      <w:r w:rsidR="00734BD9" w:rsidRPr="00A66252">
        <w:rPr>
          <w:lang w:val="fr-FR" w:eastAsia="fr-FR"/>
        </w:rPr>
        <w:t>il s</w:t>
      </w:r>
      <w:r w:rsidR="00A66252" w:rsidRPr="00A66252">
        <w:rPr>
          <w:lang w:val="fr-FR" w:eastAsia="fr-FR"/>
        </w:rPr>
        <w:t>’</w:t>
      </w:r>
      <w:r w:rsidR="00734BD9" w:rsidRPr="00A66252">
        <w:rPr>
          <w:lang w:val="fr-FR" w:eastAsia="fr-FR"/>
        </w:rPr>
        <w:t>agisse d</w:t>
      </w:r>
      <w:r w:rsidR="00A66252" w:rsidRPr="00A66252">
        <w:rPr>
          <w:lang w:val="fr-FR" w:eastAsia="fr-FR"/>
        </w:rPr>
        <w:t>’</w:t>
      </w:r>
      <w:r w:rsidR="00734BD9" w:rsidRPr="00A66252">
        <w:rPr>
          <w:lang w:val="fr-FR" w:eastAsia="fr-FR"/>
        </w:rPr>
        <w:t xml:space="preserve">étrangers </w:t>
      </w:r>
      <w:r w:rsidR="00D266C6" w:rsidRPr="00A66252">
        <w:rPr>
          <w:lang w:val="fr-FR" w:eastAsia="fr-FR"/>
        </w:rPr>
        <w:t>malades du</w:t>
      </w:r>
      <w:r w:rsidR="00734BD9" w:rsidRPr="00A66252">
        <w:rPr>
          <w:lang w:val="fr-FR" w:eastAsia="fr-FR"/>
        </w:rPr>
        <w:t xml:space="preserve"> </w:t>
      </w:r>
      <w:r w:rsidR="000F2379" w:rsidRPr="00A66252">
        <w:rPr>
          <w:lang w:val="fr-FR" w:eastAsia="fr-FR"/>
        </w:rPr>
        <w:t>sida</w:t>
      </w:r>
      <w:r w:rsidR="00734BD9" w:rsidRPr="00A66252">
        <w:rPr>
          <w:lang w:val="fr-FR" w:eastAsia="fr-FR"/>
        </w:rPr>
        <w:t xml:space="preserve"> (voir, parmi d</w:t>
      </w:r>
      <w:r w:rsidR="00A66252" w:rsidRPr="00A66252">
        <w:rPr>
          <w:lang w:val="fr-FR" w:eastAsia="fr-FR"/>
        </w:rPr>
        <w:t>’</w:t>
      </w:r>
      <w:r w:rsidR="00734BD9" w:rsidRPr="00A66252">
        <w:rPr>
          <w:lang w:val="fr-FR" w:eastAsia="fr-FR"/>
        </w:rPr>
        <w:t xml:space="preserve">autres, </w:t>
      </w:r>
      <w:r w:rsidR="00734BD9" w:rsidRPr="00A66252">
        <w:rPr>
          <w:i/>
          <w:lang w:val="fr-FR" w:eastAsia="fr-FR"/>
        </w:rPr>
        <w:t>E.O. c. Italie</w:t>
      </w:r>
      <w:r w:rsidR="00B32D6C" w:rsidRPr="00A66252">
        <w:rPr>
          <w:lang w:val="fr-FR" w:eastAsia="fr-FR"/>
        </w:rPr>
        <w:t xml:space="preserve"> (déc.), n</w:t>
      </w:r>
      <w:r w:rsidR="009472B8" w:rsidRPr="00A66252">
        <w:rPr>
          <w:vertAlign w:val="superscript"/>
          <w:lang w:val="fr-FR" w:eastAsia="fr-FR"/>
        </w:rPr>
        <w:t>o</w:t>
      </w:r>
      <w:r w:rsidR="00B32D6C" w:rsidRPr="00A66252">
        <w:rPr>
          <w:lang w:val="fr-FR" w:eastAsia="fr-FR"/>
        </w:rPr>
        <w:t xml:space="preserve"> 34724/10, 10 </w:t>
      </w:r>
      <w:r w:rsidR="00734BD9" w:rsidRPr="00A66252">
        <w:rPr>
          <w:lang w:val="fr-FR" w:eastAsia="fr-FR"/>
        </w:rPr>
        <w:t>mai 2012</w:t>
      </w:r>
      <w:r w:rsidR="000F2379" w:rsidRPr="00A66252">
        <w:rPr>
          <w:lang w:val="fr-FR" w:eastAsia="fr-FR"/>
        </w:rPr>
        <w:t>)</w:t>
      </w:r>
      <w:r w:rsidR="00734BD9" w:rsidRPr="00A66252">
        <w:rPr>
          <w:lang w:val="fr-FR" w:eastAsia="fr-FR"/>
        </w:rPr>
        <w:t xml:space="preserve"> ou souffrant d</w:t>
      </w:r>
      <w:r w:rsidR="00A66252" w:rsidRPr="00A66252">
        <w:rPr>
          <w:lang w:val="fr-FR" w:eastAsia="fr-FR"/>
        </w:rPr>
        <w:t>’</w:t>
      </w:r>
      <w:r w:rsidR="00734BD9" w:rsidRPr="00A66252">
        <w:rPr>
          <w:lang w:val="fr-FR" w:eastAsia="fr-FR"/>
        </w:rPr>
        <w:t>autres pathologies graves, physiques (voir, parmi d</w:t>
      </w:r>
      <w:r w:rsidR="00A66252" w:rsidRPr="00A66252">
        <w:rPr>
          <w:lang w:val="fr-FR" w:eastAsia="fr-FR"/>
        </w:rPr>
        <w:t>’</w:t>
      </w:r>
      <w:r w:rsidR="00734BD9" w:rsidRPr="00A66252">
        <w:rPr>
          <w:lang w:val="fr-FR" w:eastAsia="fr-FR"/>
        </w:rPr>
        <w:t xml:space="preserve">autres, </w:t>
      </w:r>
      <w:r w:rsidR="00734BD9" w:rsidRPr="00A66252">
        <w:rPr>
          <w:i/>
          <w:lang w:val="fr-FR" w:eastAsia="fr-FR"/>
        </w:rPr>
        <w:t xml:space="preserve">V.S. </w:t>
      </w:r>
      <w:r w:rsidR="00932DA2" w:rsidRPr="00A66252">
        <w:rPr>
          <w:i/>
          <w:lang w:val="fr-FR" w:eastAsia="fr-FR"/>
        </w:rPr>
        <w:t xml:space="preserve">et autres </w:t>
      </w:r>
      <w:r w:rsidR="00734BD9" w:rsidRPr="00A66252">
        <w:rPr>
          <w:i/>
          <w:lang w:val="fr-FR" w:eastAsia="fr-FR"/>
        </w:rPr>
        <w:t>c. France</w:t>
      </w:r>
      <w:r w:rsidR="00734BD9" w:rsidRPr="00A66252">
        <w:rPr>
          <w:lang w:val="fr-FR" w:eastAsia="fr-FR"/>
        </w:rPr>
        <w:t xml:space="preserve"> (déc.), n</w:t>
      </w:r>
      <w:r w:rsidR="009472B8" w:rsidRPr="00A66252">
        <w:rPr>
          <w:vertAlign w:val="superscript"/>
          <w:lang w:val="fr-FR" w:eastAsia="fr-FR"/>
        </w:rPr>
        <w:t>o</w:t>
      </w:r>
      <w:r w:rsidR="00734BD9" w:rsidRPr="00A66252">
        <w:rPr>
          <w:lang w:val="fr-FR" w:eastAsia="fr-FR"/>
        </w:rPr>
        <w:t xml:space="preserve"> 35226/11, 25 novembre 2014) ou mentales (voir, parmi d</w:t>
      </w:r>
      <w:r w:rsidR="00A66252" w:rsidRPr="00A66252">
        <w:rPr>
          <w:lang w:val="fr-FR" w:eastAsia="fr-FR"/>
        </w:rPr>
        <w:t>’</w:t>
      </w:r>
      <w:r w:rsidR="00734BD9" w:rsidRPr="00A66252">
        <w:rPr>
          <w:lang w:val="fr-FR" w:eastAsia="fr-FR"/>
        </w:rPr>
        <w:t xml:space="preserve">autres, </w:t>
      </w:r>
      <w:proofErr w:type="spellStart"/>
      <w:r w:rsidR="00734BD9" w:rsidRPr="00A66252">
        <w:rPr>
          <w:i/>
          <w:lang w:val="fr-FR" w:eastAsia="fr-FR"/>
        </w:rPr>
        <w:t>Kochieva</w:t>
      </w:r>
      <w:proofErr w:type="spellEnd"/>
      <w:r w:rsidR="00F7184B" w:rsidRPr="00A66252">
        <w:rPr>
          <w:i/>
          <w:lang w:val="fr-FR" w:eastAsia="fr-FR"/>
        </w:rPr>
        <w:t xml:space="preserve"> </w:t>
      </w:r>
      <w:r w:rsidR="00932DA2" w:rsidRPr="00A66252">
        <w:rPr>
          <w:i/>
          <w:lang w:val="fr-FR" w:eastAsia="fr-FR"/>
        </w:rPr>
        <w:t xml:space="preserve">et autres </w:t>
      </w:r>
      <w:r w:rsidR="00734BD9" w:rsidRPr="00A66252">
        <w:rPr>
          <w:i/>
          <w:lang w:val="fr-FR" w:eastAsia="fr-FR"/>
        </w:rPr>
        <w:t>c. Suède</w:t>
      </w:r>
      <w:r w:rsidR="00734BD9" w:rsidRPr="00A66252">
        <w:rPr>
          <w:lang w:val="fr-FR" w:eastAsia="fr-FR"/>
        </w:rPr>
        <w:t xml:space="preserve"> (déc.), n</w:t>
      </w:r>
      <w:r w:rsidR="009472B8" w:rsidRPr="00A66252">
        <w:rPr>
          <w:vertAlign w:val="superscript"/>
          <w:lang w:val="fr-FR" w:eastAsia="fr-FR"/>
        </w:rPr>
        <w:t>o</w:t>
      </w:r>
      <w:r w:rsidR="00D25470" w:rsidRPr="00A66252">
        <w:rPr>
          <w:lang w:val="fr-FR" w:eastAsia="fr-FR"/>
        </w:rPr>
        <w:t> </w:t>
      </w:r>
      <w:r w:rsidR="00734BD9" w:rsidRPr="00A66252">
        <w:rPr>
          <w:lang w:val="fr-FR" w:eastAsia="fr-FR"/>
        </w:rPr>
        <w:t>75203/12, 30 avril 2013</w:t>
      </w:r>
      <w:r w:rsidR="004D7945" w:rsidRPr="00A66252">
        <w:rPr>
          <w:lang w:val="fr-FR" w:eastAsia="fr-FR"/>
        </w:rPr>
        <w:t>,</w:t>
      </w:r>
      <w:r w:rsidR="004D7945" w:rsidRPr="00A66252">
        <w:rPr>
          <w:i/>
          <w:lang w:val="fr-FR" w:eastAsia="fr-FR"/>
        </w:rPr>
        <w:t xml:space="preserve"> </w:t>
      </w:r>
      <w:r w:rsidR="004D7945" w:rsidRPr="00A66252">
        <w:rPr>
          <w:lang w:val="fr-FR" w:eastAsia="fr-FR"/>
        </w:rPr>
        <w:t xml:space="preserve">et </w:t>
      </w:r>
      <w:proofErr w:type="spellStart"/>
      <w:r w:rsidR="004D7945" w:rsidRPr="00A66252">
        <w:rPr>
          <w:i/>
          <w:lang w:val="fr-FR" w:eastAsia="fr-FR"/>
        </w:rPr>
        <w:t>Khachatryan</w:t>
      </w:r>
      <w:proofErr w:type="spellEnd"/>
      <w:r w:rsidR="004D7945" w:rsidRPr="00A66252">
        <w:rPr>
          <w:i/>
          <w:lang w:val="fr-FR" w:eastAsia="fr-FR"/>
        </w:rPr>
        <w:t xml:space="preserve"> c. Belgique</w:t>
      </w:r>
      <w:r w:rsidR="004D7945" w:rsidRPr="00A66252">
        <w:rPr>
          <w:lang w:val="fr-FR" w:eastAsia="fr-FR"/>
        </w:rPr>
        <w:t xml:space="preserve"> (déc.), n</w:t>
      </w:r>
      <w:r w:rsidR="009472B8" w:rsidRPr="00A66252">
        <w:rPr>
          <w:vertAlign w:val="superscript"/>
          <w:lang w:val="fr-FR" w:eastAsia="fr-FR"/>
        </w:rPr>
        <w:t>o</w:t>
      </w:r>
      <w:r w:rsidR="004D7945" w:rsidRPr="00A66252">
        <w:rPr>
          <w:lang w:val="fr-FR" w:eastAsia="fr-FR"/>
        </w:rPr>
        <w:t xml:space="preserve"> 72597/10, 7 avril 2015</w:t>
      </w:r>
      <w:r w:rsidR="009F6A3E" w:rsidRPr="00A66252">
        <w:rPr>
          <w:lang w:val="fr-FR" w:eastAsia="fr-FR"/>
        </w:rPr>
        <w:t>)</w:t>
      </w:r>
      <w:r w:rsidR="004D7945" w:rsidRPr="00A66252">
        <w:rPr>
          <w:lang w:val="fr-FR" w:eastAsia="fr-FR"/>
        </w:rPr>
        <w:t>.</w:t>
      </w:r>
      <w:r w:rsidR="00E10A47" w:rsidRPr="00A66252">
        <w:rPr>
          <w:lang w:val="fr-FR" w:eastAsia="fr-FR"/>
        </w:rPr>
        <w:t xml:space="preserve"> </w:t>
      </w:r>
      <w:r w:rsidR="00734BD9" w:rsidRPr="00A66252">
        <w:rPr>
          <w:lang w:val="fr-FR" w:eastAsia="fr-FR"/>
        </w:rPr>
        <w:t xml:space="preserve">Plusieurs arrêts </w:t>
      </w:r>
      <w:r w:rsidR="00721B63" w:rsidRPr="00A66252">
        <w:rPr>
          <w:lang w:val="fr-FR" w:eastAsia="fr-FR"/>
        </w:rPr>
        <w:t xml:space="preserve">ont </w:t>
      </w:r>
      <w:r w:rsidR="00734BD9" w:rsidRPr="00A66252">
        <w:rPr>
          <w:lang w:val="fr-FR" w:eastAsia="fr-FR"/>
        </w:rPr>
        <w:t>appliqu</w:t>
      </w:r>
      <w:r w:rsidR="00721B63" w:rsidRPr="00A66252">
        <w:rPr>
          <w:lang w:val="fr-FR" w:eastAsia="fr-FR"/>
        </w:rPr>
        <w:t>é</w:t>
      </w:r>
      <w:r w:rsidR="00734BD9" w:rsidRPr="00A66252">
        <w:rPr>
          <w:lang w:val="fr-FR" w:eastAsia="fr-FR"/>
        </w:rPr>
        <w:t xml:space="preserve"> cette jurisprudence </w:t>
      </w:r>
      <w:r w:rsidR="00D266C6" w:rsidRPr="00A66252">
        <w:rPr>
          <w:lang w:val="fr-FR" w:eastAsia="fr-FR"/>
        </w:rPr>
        <w:t>à l</w:t>
      </w:r>
      <w:r w:rsidR="00A66252" w:rsidRPr="00A66252">
        <w:rPr>
          <w:lang w:val="fr-FR" w:eastAsia="fr-FR"/>
        </w:rPr>
        <w:t>’</w:t>
      </w:r>
      <w:r w:rsidR="00D266C6" w:rsidRPr="00A66252">
        <w:rPr>
          <w:lang w:val="fr-FR" w:eastAsia="fr-FR"/>
        </w:rPr>
        <w:t>éloignement de personnes gravement malades dont la maladie était sous contrôle grâce à l</w:t>
      </w:r>
      <w:r w:rsidR="00A66252" w:rsidRPr="00A66252">
        <w:rPr>
          <w:lang w:val="fr-FR" w:eastAsia="fr-FR"/>
        </w:rPr>
        <w:t>’</w:t>
      </w:r>
      <w:r w:rsidR="00D266C6" w:rsidRPr="00A66252">
        <w:rPr>
          <w:lang w:val="fr-FR" w:eastAsia="fr-FR"/>
        </w:rPr>
        <w:t xml:space="preserve">administration des médicaments </w:t>
      </w:r>
      <w:r w:rsidR="002B7E83" w:rsidRPr="00A66252">
        <w:rPr>
          <w:lang w:val="fr-FR" w:eastAsia="fr-FR"/>
        </w:rPr>
        <w:t xml:space="preserve">dans </w:t>
      </w:r>
      <w:r w:rsidR="00D266C6" w:rsidRPr="00A66252">
        <w:rPr>
          <w:lang w:val="fr-FR" w:eastAsia="fr-FR"/>
        </w:rPr>
        <w:t>l</w:t>
      </w:r>
      <w:r w:rsidR="00A66252" w:rsidRPr="00A66252">
        <w:rPr>
          <w:lang w:val="fr-FR" w:eastAsia="fr-FR"/>
        </w:rPr>
        <w:t>’</w:t>
      </w:r>
      <w:r w:rsidR="004D08D2" w:rsidRPr="00A66252">
        <w:rPr>
          <w:lang w:val="fr-FR" w:eastAsia="fr-FR"/>
        </w:rPr>
        <w:t>État</w:t>
      </w:r>
      <w:r w:rsidR="00EE05A3" w:rsidRPr="00A66252">
        <w:rPr>
          <w:lang w:val="fr-FR" w:eastAsia="fr-FR"/>
        </w:rPr>
        <w:t xml:space="preserve"> contractant </w:t>
      </w:r>
      <w:r w:rsidR="00D266C6" w:rsidRPr="00A66252">
        <w:rPr>
          <w:lang w:val="fr-FR" w:eastAsia="fr-FR"/>
        </w:rPr>
        <w:t xml:space="preserve">concerné et qui étaient aptes à voyager </w:t>
      </w:r>
      <w:r w:rsidR="00734BD9" w:rsidRPr="00A66252">
        <w:rPr>
          <w:lang w:val="fr-FR" w:eastAsia="fr-FR"/>
        </w:rPr>
        <w:t xml:space="preserve">(voir </w:t>
      </w:r>
      <w:proofErr w:type="spellStart"/>
      <w:r w:rsidR="00734BD9" w:rsidRPr="00A66252">
        <w:rPr>
          <w:i/>
          <w:lang w:val="fr-FR" w:eastAsia="fr-FR"/>
        </w:rPr>
        <w:t>Yoh-Ekale</w:t>
      </w:r>
      <w:proofErr w:type="spellEnd"/>
      <w:r w:rsidR="00734BD9" w:rsidRPr="00A66252">
        <w:rPr>
          <w:i/>
          <w:lang w:val="fr-FR" w:eastAsia="fr-FR"/>
        </w:rPr>
        <w:t xml:space="preserve"> </w:t>
      </w:r>
      <w:proofErr w:type="spellStart"/>
      <w:r w:rsidR="00734BD9" w:rsidRPr="00A66252">
        <w:rPr>
          <w:i/>
          <w:lang w:val="fr-FR" w:eastAsia="fr-FR"/>
        </w:rPr>
        <w:t>Mwanje</w:t>
      </w:r>
      <w:proofErr w:type="spellEnd"/>
      <w:r w:rsidR="00734BD9" w:rsidRPr="00A66252">
        <w:rPr>
          <w:i/>
          <w:lang w:val="fr-FR" w:eastAsia="fr-FR"/>
        </w:rPr>
        <w:t xml:space="preserve"> c. Belgique</w:t>
      </w:r>
      <w:r w:rsidR="00734BD9" w:rsidRPr="00A66252">
        <w:rPr>
          <w:lang w:val="fr-FR" w:eastAsia="fr-FR"/>
        </w:rPr>
        <w:t>, n</w:t>
      </w:r>
      <w:r w:rsidR="00734BD9" w:rsidRPr="00A66252">
        <w:rPr>
          <w:vertAlign w:val="superscript"/>
          <w:lang w:val="fr-FR" w:eastAsia="fr-FR"/>
        </w:rPr>
        <w:t>o</w:t>
      </w:r>
      <w:r w:rsidR="00D25470" w:rsidRPr="00A66252">
        <w:rPr>
          <w:lang w:val="fr-FR" w:eastAsia="fr-FR"/>
        </w:rPr>
        <w:t> </w:t>
      </w:r>
      <w:r w:rsidR="00734BD9" w:rsidRPr="00A66252">
        <w:rPr>
          <w:lang w:val="fr-FR" w:eastAsia="fr-FR"/>
        </w:rPr>
        <w:t xml:space="preserve">10486/10, 20 décembre 2011, </w:t>
      </w:r>
      <w:r w:rsidR="00734BD9" w:rsidRPr="00A66252">
        <w:rPr>
          <w:i/>
          <w:lang w:val="fr-FR" w:eastAsia="fr-FR"/>
        </w:rPr>
        <w:t>S.H.H. c. Royaume-Uni</w:t>
      </w:r>
      <w:r w:rsidR="00734BD9" w:rsidRPr="00A66252">
        <w:rPr>
          <w:lang w:val="fr-FR" w:eastAsia="fr-FR"/>
        </w:rPr>
        <w:t>, n</w:t>
      </w:r>
      <w:r w:rsidR="00734BD9" w:rsidRPr="00A66252">
        <w:rPr>
          <w:vertAlign w:val="superscript"/>
          <w:lang w:val="fr-FR" w:eastAsia="fr-FR"/>
        </w:rPr>
        <w:t>o</w:t>
      </w:r>
      <w:r w:rsidR="00EA67F0" w:rsidRPr="00A66252">
        <w:rPr>
          <w:lang w:val="fr-FR" w:eastAsia="fr-FR"/>
        </w:rPr>
        <w:t> </w:t>
      </w:r>
      <w:r w:rsidR="00B32D6C" w:rsidRPr="00A66252">
        <w:rPr>
          <w:lang w:val="fr-FR" w:eastAsia="fr-FR"/>
        </w:rPr>
        <w:t>60367/10, 29 </w:t>
      </w:r>
      <w:r w:rsidR="00E02F4C" w:rsidRPr="00A66252">
        <w:rPr>
          <w:lang w:val="fr-FR" w:eastAsia="fr-FR"/>
        </w:rPr>
        <w:t>janvier 2013</w:t>
      </w:r>
      <w:r w:rsidR="00734BD9" w:rsidRPr="00A66252">
        <w:rPr>
          <w:lang w:val="fr-FR" w:eastAsia="fr-FR"/>
        </w:rPr>
        <w:t>,</w:t>
      </w:r>
      <w:r w:rsidR="00734BD9" w:rsidRPr="00A66252">
        <w:rPr>
          <w:i/>
          <w:lang w:val="fr-FR" w:eastAsia="fr-FR"/>
        </w:rPr>
        <w:t xml:space="preserve"> Tatar</w:t>
      </w:r>
      <w:r w:rsidR="00734BD9" w:rsidRPr="00A66252">
        <w:rPr>
          <w:lang w:val="fr-FR" w:eastAsia="fr-FR"/>
        </w:rPr>
        <w:t xml:space="preserve">, </w:t>
      </w:r>
      <w:r w:rsidR="00EC7A4F" w:rsidRPr="00A66252">
        <w:rPr>
          <w:lang w:val="fr-FR" w:eastAsia="fr-FR"/>
        </w:rPr>
        <w:t xml:space="preserve">précité, </w:t>
      </w:r>
      <w:r w:rsidR="000F2379" w:rsidRPr="00A66252">
        <w:rPr>
          <w:lang w:val="fr-FR" w:eastAsia="fr-FR"/>
        </w:rPr>
        <w:t xml:space="preserve">et </w:t>
      </w:r>
      <w:r w:rsidR="00734BD9" w:rsidRPr="00A66252">
        <w:rPr>
          <w:i/>
          <w:lang w:val="fr-FR" w:eastAsia="fr-FR"/>
        </w:rPr>
        <w:t>A.S. c. Suisse</w:t>
      </w:r>
      <w:r w:rsidR="00D266C6" w:rsidRPr="00A66252">
        <w:rPr>
          <w:lang w:val="fr-FR" w:eastAsia="fr-FR"/>
        </w:rPr>
        <w:t>, n</w:t>
      </w:r>
      <w:r w:rsidR="009472B8" w:rsidRPr="00A66252">
        <w:rPr>
          <w:vertAlign w:val="superscript"/>
          <w:lang w:val="fr-FR" w:eastAsia="fr-FR"/>
        </w:rPr>
        <w:t>o</w:t>
      </w:r>
      <w:r w:rsidR="00D266C6" w:rsidRPr="00A66252">
        <w:rPr>
          <w:lang w:val="fr-FR" w:eastAsia="fr-FR"/>
        </w:rPr>
        <w:t xml:space="preserve"> 39350/13, 30 juin 2015).</w:t>
      </w:r>
    </w:p>
    <w:bookmarkStart w:id="39" w:name="JPEXPUEND"/>
    <w:p w:rsidR="003C0F17" w:rsidRPr="00A66252" w:rsidRDefault="0061005D" w:rsidP="00A66252">
      <w:pPr>
        <w:pStyle w:val="ECHRPara"/>
        <w:rPr>
          <w:i/>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180</w:t>
      </w:r>
      <w:r w:rsidRPr="00A66252">
        <w:rPr>
          <w:lang w:val="fr-FR" w:eastAsia="fr-FR"/>
        </w:rPr>
        <w:fldChar w:fldCharType="end"/>
      </w:r>
      <w:bookmarkEnd w:id="39"/>
      <w:r w:rsidRPr="00A66252">
        <w:rPr>
          <w:lang w:val="fr-FR" w:eastAsia="fr-FR"/>
        </w:rPr>
        <w:t>.  </w:t>
      </w:r>
      <w:r w:rsidR="002B7E83" w:rsidRPr="00A66252">
        <w:rPr>
          <w:lang w:val="fr-FR" w:eastAsia="fr-FR"/>
        </w:rPr>
        <w:t xml:space="preserve">Toutefois, dans </w:t>
      </w:r>
      <w:r w:rsidR="00151EF9" w:rsidRPr="00A66252">
        <w:rPr>
          <w:lang w:val="fr-FR" w:eastAsia="fr-FR"/>
        </w:rPr>
        <w:t>l</w:t>
      </w:r>
      <w:r w:rsidR="00A66252" w:rsidRPr="00A66252">
        <w:rPr>
          <w:lang w:val="fr-FR" w:eastAsia="fr-FR"/>
        </w:rPr>
        <w:t>’</w:t>
      </w:r>
      <w:r w:rsidR="002B7E83" w:rsidRPr="00A66252">
        <w:rPr>
          <w:lang w:val="fr-FR" w:eastAsia="fr-FR"/>
        </w:rPr>
        <w:t xml:space="preserve">arrêt </w:t>
      </w:r>
      <w:proofErr w:type="spellStart"/>
      <w:r w:rsidR="000F2379" w:rsidRPr="00A66252">
        <w:rPr>
          <w:i/>
          <w:lang w:val="fr-FR" w:eastAsia="fr-FR"/>
        </w:rPr>
        <w:t>Aswat</w:t>
      </w:r>
      <w:proofErr w:type="spellEnd"/>
      <w:r w:rsidR="000F2379" w:rsidRPr="00A66252">
        <w:rPr>
          <w:i/>
          <w:lang w:val="fr-FR" w:eastAsia="fr-FR"/>
        </w:rPr>
        <w:t xml:space="preserve"> c. Royaume-Uni </w:t>
      </w:r>
      <w:r w:rsidR="000F2379" w:rsidRPr="00A66252">
        <w:rPr>
          <w:lang w:val="fr-FR" w:eastAsia="fr-FR"/>
        </w:rPr>
        <w:t>(n</w:t>
      </w:r>
      <w:r w:rsidR="000F2379" w:rsidRPr="00A66252">
        <w:rPr>
          <w:vertAlign w:val="superscript"/>
          <w:lang w:val="fr-FR" w:eastAsia="fr-FR"/>
        </w:rPr>
        <w:t>o</w:t>
      </w:r>
      <w:r w:rsidR="000F2379" w:rsidRPr="00A66252">
        <w:rPr>
          <w:lang w:val="fr-FR" w:eastAsia="fr-FR"/>
        </w:rPr>
        <w:t xml:space="preserve"> 17299/12, § 49, 16 avril 2013)</w:t>
      </w:r>
      <w:r w:rsidR="002B7E83" w:rsidRPr="00A66252">
        <w:rPr>
          <w:lang w:val="fr-FR" w:eastAsia="fr-FR"/>
        </w:rPr>
        <w:t>,</w:t>
      </w:r>
      <w:r w:rsidR="00166EA7" w:rsidRPr="00A66252">
        <w:rPr>
          <w:lang w:val="fr-FR" w:eastAsia="fr-FR"/>
        </w:rPr>
        <w:t xml:space="preserve"> </w:t>
      </w:r>
      <w:r w:rsidR="002B7E83" w:rsidRPr="00A66252">
        <w:rPr>
          <w:lang w:val="fr-FR" w:eastAsia="fr-FR"/>
        </w:rPr>
        <w:t xml:space="preserve">la Cour est parvenue à une conclusion différente, estimant </w:t>
      </w:r>
      <w:r w:rsidR="00FF5034" w:rsidRPr="00A66252">
        <w:rPr>
          <w:lang w:val="fr-FR"/>
        </w:rPr>
        <w:t xml:space="preserve">que </w:t>
      </w:r>
      <w:r w:rsidR="00166EA7" w:rsidRPr="00A66252">
        <w:rPr>
          <w:lang w:val="fr-FR"/>
        </w:rPr>
        <w:t>l</w:t>
      </w:r>
      <w:r w:rsidR="00A66252" w:rsidRPr="00A66252">
        <w:rPr>
          <w:lang w:val="fr-FR"/>
        </w:rPr>
        <w:t>’</w:t>
      </w:r>
      <w:r w:rsidR="00FF5034" w:rsidRPr="00A66252">
        <w:rPr>
          <w:lang w:val="fr-FR"/>
        </w:rPr>
        <w:t xml:space="preserve">extradition </w:t>
      </w:r>
      <w:r w:rsidR="00D668AA" w:rsidRPr="00A66252">
        <w:rPr>
          <w:lang w:val="fr-FR"/>
        </w:rPr>
        <w:t xml:space="preserve">du requérant </w:t>
      </w:r>
      <w:r w:rsidR="00800622" w:rsidRPr="00A66252">
        <w:rPr>
          <w:lang w:val="fr-FR"/>
        </w:rPr>
        <w:t>vers les É</w:t>
      </w:r>
      <w:r w:rsidR="00FF5034" w:rsidRPr="00A66252">
        <w:rPr>
          <w:lang w:val="fr-FR"/>
        </w:rPr>
        <w:t>tats-Unis</w:t>
      </w:r>
      <w:r w:rsidR="007B20BF" w:rsidRPr="00A66252">
        <w:rPr>
          <w:lang w:val="fr-FR"/>
        </w:rPr>
        <w:t>,</w:t>
      </w:r>
      <w:r w:rsidR="00FF5034" w:rsidRPr="00A66252">
        <w:rPr>
          <w:lang w:val="fr-FR"/>
        </w:rPr>
        <w:t xml:space="preserve"> </w:t>
      </w:r>
      <w:r w:rsidR="00166EA7" w:rsidRPr="00A66252">
        <w:rPr>
          <w:lang w:val="fr-FR"/>
        </w:rPr>
        <w:t xml:space="preserve">où il était </w:t>
      </w:r>
      <w:r w:rsidR="007B20BF" w:rsidRPr="00A66252">
        <w:rPr>
          <w:lang w:val="fr-FR"/>
        </w:rPr>
        <w:t>poursuivi pour activités terrorist</w:t>
      </w:r>
      <w:r w:rsidRPr="00A66252">
        <w:rPr>
          <w:lang w:val="fr-FR"/>
        </w:rPr>
        <w:t>e</w:t>
      </w:r>
      <w:r w:rsidR="007B20BF" w:rsidRPr="00A66252">
        <w:rPr>
          <w:lang w:val="fr-FR"/>
        </w:rPr>
        <w:t>s,</w:t>
      </w:r>
      <w:r w:rsidR="00166EA7" w:rsidRPr="00A66252">
        <w:rPr>
          <w:lang w:val="fr-FR"/>
        </w:rPr>
        <w:t xml:space="preserve"> </w:t>
      </w:r>
      <w:r w:rsidR="00FF5034" w:rsidRPr="00A66252">
        <w:rPr>
          <w:lang w:val="fr-FR"/>
        </w:rPr>
        <w:t xml:space="preserve">aurait </w:t>
      </w:r>
      <w:r w:rsidR="00721B63" w:rsidRPr="00A66252">
        <w:rPr>
          <w:lang w:val="fr-FR"/>
        </w:rPr>
        <w:t xml:space="preserve">entraîné </w:t>
      </w:r>
      <w:r w:rsidR="00FF5034" w:rsidRPr="00A66252">
        <w:rPr>
          <w:lang w:val="fr-FR"/>
        </w:rPr>
        <w:t xml:space="preserve">un mauvais traitement, en particulier parce que les conditions de détention dans la prison </w:t>
      </w:r>
      <w:r w:rsidR="00166EA7" w:rsidRPr="00A66252">
        <w:rPr>
          <w:lang w:val="fr-FR"/>
        </w:rPr>
        <w:t xml:space="preserve">de très haute sécurité </w:t>
      </w:r>
      <w:r w:rsidR="00FF5034" w:rsidRPr="00A66252">
        <w:rPr>
          <w:lang w:val="fr-FR"/>
        </w:rPr>
        <w:t xml:space="preserve">où il serait </w:t>
      </w:r>
      <w:r w:rsidR="002B7E83" w:rsidRPr="00A66252">
        <w:rPr>
          <w:lang w:val="fr-FR"/>
        </w:rPr>
        <w:t xml:space="preserve">incarcéré </w:t>
      </w:r>
      <w:r w:rsidR="00FF5034" w:rsidRPr="00A66252">
        <w:rPr>
          <w:lang w:val="fr-FR"/>
        </w:rPr>
        <w:t>risquaient d</w:t>
      </w:r>
      <w:r w:rsidR="00A66252" w:rsidRPr="00A66252">
        <w:rPr>
          <w:lang w:val="fr-FR"/>
        </w:rPr>
        <w:t>’</w:t>
      </w:r>
      <w:r w:rsidR="00FF5034" w:rsidRPr="00A66252">
        <w:rPr>
          <w:lang w:val="fr-FR"/>
        </w:rPr>
        <w:t>aggraver son état de schizophrénie paranoïaque</w:t>
      </w:r>
      <w:r w:rsidR="00166EA7" w:rsidRPr="00A66252">
        <w:rPr>
          <w:lang w:val="fr-FR"/>
        </w:rPr>
        <w:t>. La Cour</w:t>
      </w:r>
      <w:r w:rsidR="00166EA7" w:rsidRPr="00A66252">
        <w:rPr>
          <w:szCs w:val="24"/>
          <w:lang w:val="fr-FR" w:eastAsia="fr-FR"/>
        </w:rPr>
        <w:t xml:space="preserve"> </w:t>
      </w:r>
      <w:r w:rsidR="000942F7" w:rsidRPr="00A66252">
        <w:rPr>
          <w:szCs w:val="24"/>
          <w:lang w:val="fr-FR" w:eastAsia="fr-FR"/>
        </w:rPr>
        <w:t xml:space="preserve">a jugé </w:t>
      </w:r>
      <w:r w:rsidR="00166EA7" w:rsidRPr="00A66252">
        <w:rPr>
          <w:szCs w:val="24"/>
          <w:lang w:val="fr-FR" w:eastAsia="fr-FR"/>
        </w:rPr>
        <w:t xml:space="preserve">que le risque </w:t>
      </w:r>
      <w:r w:rsidR="002B7E83" w:rsidRPr="00A66252">
        <w:rPr>
          <w:szCs w:val="24"/>
          <w:lang w:val="fr-FR" w:eastAsia="fr-FR"/>
        </w:rPr>
        <w:t xml:space="preserve">de </w:t>
      </w:r>
      <w:r w:rsidR="00166EA7" w:rsidRPr="00A66252">
        <w:rPr>
          <w:szCs w:val="24"/>
          <w:lang w:val="fr-FR" w:eastAsia="fr-FR"/>
        </w:rPr>
        <w:t>détérioration significative de l</w:t>
      </w:r>
      <w:r w:rsidR="00A66252" w:rsidRPr="00A66252">
        <w:rPr>
          <w:szCs w:val="24"/>
          <w:lang w:val="fr-FR" w:eastAsia="fr-FR"/>
        </w:rPr>
        <w:t>’</w:t>
      </w:r>
      <w:r w:rsidR="00166EA7" w:rsidRPr="00A66252">
        <w:rPr>
          <w:szCs w:val="24"/>
          <w:lang w:val="fr-FR" w:eastAsia="fr-FR"/>
        </w:rPr>
        <w:t>état de santé mentale et physique du requérant était suffisant pour enfreindre l</w:t>
      </w:r>
      <w:r w:rsidR="00A66252" w:rsidRPr="00A66252">
        <w:rPr>
          <w:szCs w:val="24"/>
          <w:lang w:val="fr-FR" w:eastAsia="fr-FR"/>
        </w:rPr>
        <w:t>’</w:t>
      </w:r>
      <w:r w:rsidR="00166EA7" w:rsidRPr="00A66252">
        <w:rPr>
          <w:szCs w:val="24"/>
          <w:lang w:val="fr-FR" w:eastAsia="fr-FR"/>
        </w:rPr>
        <w:t xml:space="preserve">article 3 </w:t>
      </w:r>
      <w:r w:rsidRPr="00A66252">
        <w:rPr>
          <w:szCs w:val="24"/>
          <w:lang w:val="fr-FR" w:eastAsia="fr-FR"/>
        </w:rPr>
        <w:t xml:space="preserve">de la Convention </w:t>
      </w:r>
      <w:r w:rsidR="00166EA7" w:rsidRPr="00A66252">
        <w:rPr>
          <w:szCs w:val="24"/>
          <w:lang w:val="fr-FR" w:eastAsia="fr-FR"/>
        </w:rPr>
        <w:t>(</w:t>
      </w:r>
      <w:r w:rsidR="008B441B" w:rsidRPr="00A66252">
        <w:rPr>
          <w:i/>
          <w:szCs w:val="24"/>
          <w:lang w:val="fr-FR" w:eastAsia="fr-FR"/>
        </w:rPr>
        <w:t>ibidem</w:t>
      </w:r>
      <w:r w:rsidR="003758D4" w:rsidRPr="00A66252">
        <w:rPr>
          <w:szCs w:val="24"/>
          <w:lang w:val="fr-FR" w:eastAsia="fr-FR"/>
        </w:rPr>
        <w:t xml:space="preserve">, </w:t>
      </w:r>
      <w:r w:rsidR="00166EA7" w:rsidRPr="00A66252">
        <w:rPr>
          <w:szCs w:val="24"/>
          <w:lang w:val="fr-FR" w:eastAsia="fr-FR"/>
        </w:rPr>
        <w:t>§ 57)</w:t>
      </w:r>
      <w:r w:rsidR="0070474E" w:rsidRPr="00A66252">
        <w:rPr>
          <w:lang w:val="fr-FR"/>
        </w:rPr>
        <w:t>.</w:t>
      </w:r>
    </w:p>
    <w:p w:rsidR="00A66252" w:rsidRPr="00A66252" w:rsidRDefault="0080452E" w:rsidP="00A66252">
      <w:pPr>
        <w:pStyle w:val="ECHRPara"/>
        <w:rPr>
          <w:i/>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181</w:t>
      </w:r>
      <w:r w:rsidRPr="00A66252">
        <w:rPr>
          <w:lang w:val="fr-FR" w:eastAsia="fr-FR"/>
        </w:rPr>
        <w:fldChar w:fldCharType="end"/>
      </w:r>
      <w:r w:rsidRPr="00A66252">
        <w:rPr>
          <w:lang w:val="fr-FR" w:eastAsia="fr-FR"/>
        </w:rPr>
        <w:t xml:space="preserve">.  La Cour déduit de ce rappel de jurisprudence </w:t>
      </w:r>
      <w:r w:rsidR="00443969" w:rsidRPr="00A66252">
        <w:rPr>
          <w:lang w:val="fr-FR" w:eastAsia="fr-FR"/>
        </w:rPr>
        <w:t>que l</w:t>
      </w:r>
      <w:r w:rsidR="00A66252" w:rsidRPr="00A66252">
        <w:rPr>
          <w:lang w:val="fr-FR" w:eastAsia="fr-FR"/>
        </w:rPr>
        <w:t>’</w:t>
      </w:r>
      <w:r w:rsidR="00443969" w:rsidRPr="00A66252">
        <w:rPr>
          <w:lang w:val="fr-FR" w:eastAsia="fr-FR"/>
        </w:rPr>
        <w:t>application de l</w:t>
      </w:r>
      <w:r w:rsidR="00A66252" w:rsidRPr="00A66252">
        <w:rPr>
          <w:lang w:val="fr-FR" w:eastAsia="fr-FR"/>
        </w:rPr>
        <w:t>’</w:t>
      </w:r>
      <w:r w:rsidR="00443969" w:rsidRPr="00A66252">
        <w:rPr>
          <w:lang w:val="fr-FR" w:eastAsia="fr-FR"/>
        </w:rPr>
        <w:t xml:space="preserve">article 3 </w:t>
      </w:r>
      <w:r w:rsidR="00443969" w:rsidRPr="00A66252">
        <w:rPr>
          <w:lang w:val="fr-FR"/>
        </w:rPr>
        <w:t xml:space="preserve">de la Convention aux seules expulsions de personnes se trouvant </w:t>
      </w:r>
      <w:r w:rsidR="00402175" w:rsidRPr="00A66252">
        <w:rPr>
          <w:lang w:val="fr-FR"/>
        </w:rPr>
        <w:t xml:space="preserve">au seuil </w:t>
      </w:r>
      <w:r w:rsidR="00443969" w:rsidRPr="00A66252">
        <w:rPr>
          <w:lang w:val="fr-FR"/>
        </w:rPr>
        <w:t xml:space="preserve">de </w:t>
      </w:r>
      <w:r w:rsidR="00402175" w:rsidRPr="00A66252">
        <w:rPr>
          <w:lang w:val="fr-FR"/>
        </w:rPr>
        <w:t xml:space="preserve">la </w:t>
      </w:r>
      <w:r w:rsidR="00443969" w:rsidRPr="00A66252">
        <w:rPr>
          <w:lang w:val="fr-FR"/>
        </w:rPr>
        <w:t xml:space="preserve">mort, </w:t>
      </w:r>
      <w:r w:rsidR="00443969" w:rsidRPr="00A66252">
        <w:rPr>
          <w:lang w:val="fr-FR" w:eastAsia="fr-FR"/>
        </w:rPr>
        <w:t>comme elle l</w:t>
      </w:r>
      <w:r w:rsidR="00A66252" w:rsidRPr="00A66252">
        <w:rPr>
          <w:lang w:val="fr-FR" w:eastAsia="fr-FR"/>
        </w:rPr>
        <w:t>’</w:t>
      </w:r>
      <w:r w:rsidR="00443969" w:rsidRPr="00A66252">
        <w:rPr>
          <w:lang w:val="fr-FR" w:eastAsia="fr-FR"/>
        </w:rPr>
        <w:t>a fait depuis l</w:t>
      </w:r>
      <w:r w:rsidR="00A66252" w:rsidRPr="00A66252">
        <w:rPr>
          <w:lang w:val="fr-FR" w:eastAsia="fr-FR"/>
        </w:rPr>
        <w:t>’</w:t>
      </w:r>
      <w:r w:rsidR="00443969" w:rsidRPr="00A66252">
        <w:rPr>
          <w:lang w:val="fr-FR" w:eastAsia="fr-FR"/>
        </w:rPr>
        <w:t xml:space="preserve">arrêt </w:t>
      </w:r>
      <w:r w:rsidR="00443969" w:rsidRPr="00A66252">
        <w:rPr>
          <w:i/>
          <w:lang w:val="fr-FR" w:eastAsia="fr-FR"/>
        </w:rPr>
        <w:t>N.</w:t>
      </w:r>
      <w:r w:rsidR="00E673AF" w:rsidRPr="00A66252">
        <w:rPr>
          <w:i/>
          <w:lang w:val="fr-FR" w:eastAsia="fr-FR"/>
        </w:rPr>
        <w:t xml:space="preserve"> c. Royaume-Uni</w:t>
      </w:r>
      <w:r w:rsidR="00443969" w:rsidRPr="00A66252">
        <w:rPr>
          <w:lang w:val="fr-FR" w:eastAsia="fr-FR"/>
        </w:rPr>
        <w:t>,</w:t>
      </w:r>
      <w:r w:rsidR="00443969" w:rsidRPr="00A66252">
        <w:rPr>
          <w:lang w:val="fr-FR"/>
        </w:rPr>
        <w:t xml:space="preserve"> a </w:t>
      </w:r>
      <w:r w:rsidR="00FE3F9F" w:rsidRPr="00A66252">
        <w:rPr>
          <w:lang w:val="fr-FR"/>
        </w:rPr>
        <w:t xml:space="preserve">eu </w:t>
      </w:r>
      <w:r w:rsidR="00443969" w:rsidRPr="00A66252">
        <w:rPr>
          <w:lang w:val="fr-FR"/>
        </w:rPr>
        <w:t xml:space="preserve">pour effet de priver </w:t>
      </w:r>
      <w:r w:rsidR="00402175" w:rsidRPr="00A66252">
        <w:rPr>
          <w:lang w:val="fr-FR"/>
        </w:rPr>
        <w:t>l</w:t>
      </w:r>
      <w:r w:rsidR="00443969" w:rsidRPr="00A66252">
        <w:rPr>
          <w:lang w:val="fr-FR"/>
        </w:rPr>
        <w:t xml:space="preserve">es étrangers gravement malades ne se trouvant pas dans un état </w:t>
      </w:r>
      <w:r w:rsidR="00136982" w:rsidRPr="00A66252">
        <w:rPr>
          <w:lang w:val="fr-FR"/>
        </w:rPr>
        <w:t xml:space="preserve">aussi </w:t>
      </w:r>
      <w:r w:rsidR="00443969" w:rsidRPr="00A66252">
        <w:rPr>
          <w:lang w:val="fr-FR"/>
        </w:rPr>
        <w:t>critique</w:t>
      </w:r>
      <w:r w:rsidR="00402175" w:rsidRPr="00A66252">
        <w:rPr>
          <w:lang w:val="fr-FR"/>
        </w:rPr>
        <w:t xml:space="preserve"> du bénéfice de cette disposition</w:t>
      </w:r>
      <w:r w:rsidR="007600A5" w:rsidRPr="00A66252">
        <w:rPr>
          <w:lang w:val="fr-FR" w:eastAsia="fr-FR"/>
        </w:rPr>
        <w:t xml:space="preserve">. </w:t>
      </w:r>
      <w:r w:rsidR="00443969" w:rsidRPr="00A66252">
        <w:rPr>
          <w:lang w:val="fr-FR"/>
        </w:rPr>
        <w:t xml:space="preserve">Corrélativement, la </w:t>
      </w:r>
      <w:r w:rsidR="00443969" w:rsidRPr="00A66252">
        <w:rPr>
          <w:lang w:val="fr-FR" w:eastAsia="fr-FR"/>
        </w:rPr>
        <w:t xml:space="preserve">jurisprudence postérieure à </w:t>
      </w:r>
      <w:r w:rsidR="00443969" w:rsidRPr="00A66252">
        <w:rPr>
          <w:i/>
          <w:lang w:val="fr-FR" w:eastAsia="fr-FR"/>
        </w:rPr>
        <w:t>N.</w:t>
      </w:r>
      <w:r w:rsidR="00963A36" w:rsidRPr="00A66252">
        <w:rPr>
          <w:i/>
          <w:lang w:val="fr-FR" w:eastAsia="fr-FR"/>
        </w:rPr>
        <w:t xml:space="preserve"> c. Royaume-Uni</w:t>
      </w:r>
      <w:r w:rsidR="00443969" w:rsidRPr="00A66252">
        <w:rPr>
          <w:lang w:val="fr-FR" w:eastAsia="fr-FR"/>
        </w:rPr>
        <w:t xml:space="preserve"> n</w:t>
      </w:r>
      <w:r w:rsidR="00A66252" w:rsidRPr="00A66252">
        <w:rPr>
          <w:lang w:val="fr-FR" w:eastAsia="fr-FR"/>
        </w:rPr>
        <w:t>’</w:t>
      </w:r>
      <w:r w:rsidR="00443969" w:rsidRPr="00A66252">
        <w:rPr>
          <w:lang w:val="fr-FR" w:eastAsia="fr-FR"/>
        </w:rPr>
        <w:t>a fourni aucune indication</w:t>
      </w:r>
      <w:r w:rsidR="00443969" w:rsidRPr="00A66252">
        <w:rPr>
          <w:lang w:val="fr-FR"/>
        </w:rPr>
        <w:t xml:space="preserve"> plus précise </w:t>
      </w:r>
      <w:r w:rsidR="00096305" w:rsidRPr="00A66252">
        <w:rPr>
          <w:lang w:val="fr-FR" w:eastAsia="fr-FR"/>
        </w:rPr>
        <w:t>au sujet des « cas très exceptionnels » visés dans l</w:t>
      </w:r>
      <w:r w:rsidR="00A66252" w:rsidRPr="00A66252">
        <w:rPr>
          <w:lang w:val="fr-FR" w:eastAsia="fr-FR"/>
        </w:rPr>
        <w:t>’</w:t>
      </w:r>
      <w:r w:rsidR="00096305" w:rsidRPr="00A66252">
        <w:rPr>
          <w:lang w:val="fr-FR" w:eastAsia="fr-FR"/>
        </w:rPr>
        <w:t xml:space="preserve">arrêt </w:t>
      </w:r>
      <w:r w:rsidR="00096305" w:rsidRPr="00A66252">
        <w:rPr>
          <w:i/>
          <w:lang w:val="fr-FR" w:eastAsia="fr-FR"/>
        </w:rPr>
        <w:t>N</w:t>
      </w:r>
      <w:r w:rsidR="006E2C6B" w:rsidRPr="00A66252">
        <w:rPr>
          <w:i/>
          <w:lang w:val="fr-FR" w:eastAsia="fr-FR"/>
        </w:rPr>
        <w:t>.</w:t>
      </w:r>
      <w:r w:rsidR="00500EF8" w:rsidRPr="00A66252">
        <w:rPr>
          <w:i/>
          <w:lang w:val="fr-FR" w:eastAsia="fr-FR"/>
        </w:rPr>
        <w:t xml:space="preserve"> c. Royaume-Uni</w:t>
      </w:r>
      <w:r w:rsidR="00096305" w:rsidRPr="00A66252">
        <w:rPr>
          <w:lang w:val="fr-FR" w:eastAsia="fr-FR"/>
        </w:rPr>
        <w:t xml:space="preserve">, autres </w:t>
      </w:r>
      <w:r w:rsidR="00096305" w:rsidRPr="00A66252">
        <w:rPr>
          <w:lang w:val="fr-FR"/>
        </w:rPr>
        <w:t>que celui</w:t>
      </w:r>
      <w:r w:rsidR="00443969" w:rsidRPr="00A66252">
        <w:rPr>
          <w:lang w:val="fr-FR"/>
        </w:rPr>
        <w:t xml:space="preserve"> envisagé par l</w:t>
      </w:r>
      <w:r w:rsidR="00A66252" w:rsidRPr="00A66252">
        <w:rPr>
          <w:lang w:val="fr-FR"/>
        </w:rPr>
        <w:t>’</w:t>
      </w:r>
      <w:r w:rsidR="00443969" w:rsidRPr="00A66252">
        <w:rPr>
          <w:lang w:val="fr-FR"/>
        </w:rPr>
        <w:t xml:space="preserve">arrêt </w:t>
      </w:r>
      <w:r w:rsidR="00443969" w:rsidRPr="00A66252">
        <w:rPr>
          <w:i/>
          <w:lang w:val="fr-FR"/>
        </w:rPr>
        <w:t>D.</w:t>
      </w:r>
      <w:r w:rsidR="0070474E" w:rsidRPr="00A66252">
        <w:rPr>
          <w:i/>
          <w:lang w:val="fr-FR"/>
        </w:rPr>
        <w:t> </w:t>
      </w:r>
      <w:r w:rsidR="003524BE" w:rsidRPr="00A66252">
        <w:rPr>
          <w:i/>
          <w:lang w:val="fr-FR"/>
        </w:rPr>
        <w:t>c. </w:t>
      </w:r>
      <w:r w:rsidR="004339DC" w:rsidRPr="00A66252">
        <w:rPr>
          <w:i/>
          <w:lang w:val="fr-FR"/>
        </w:rPr>
        <w:t>Royaume-Uni.</w:t>
      </w:r>
    </w:p>
    <w:p w:rsidR="00064E7B" w:rsidRPr="00A66252" w:rsidRDefault="005A14C3" w:rsidP="00A66252">
      <w:pPr>
        <w:pStyle w:val="ECHRPara"/>
        <w:rPr>
          <w:i/>
          <w:lang w:val="fr-FR"/>
        </w:rPr>
      </w:pPr>
      <w:r w:rsidRPr="00A66252">
        <w:lastRenderedPageBreak/>
        <w:fldChar w:fldCharType="begin"/>
      </w:r>
      <w:r w:rsidRPr="00A66252">
        <w:rPr>
          <w:lang w:val="fr-FR"/>
        </w:rPr>
        <w:instrText xml:space="preserve"> SEQ level0 \*arabic </w:instrText>
      </w:r>
      <w:r w:rsidRPr="00A66252">
        <w:fldChar w:fldCharType="separate"/>
      </w:r>
      <w:r w:rsidR="00A66252" w:rsidRPr="00A66252">
        <w:rPr>
          <w:noProof/>
          <w:lang w:val="fr-FR"/>
        </w:rPr>
        <w:t>182</w:t>
      </w:r>
      <w:r w:rsidRPr="00A66252">
        <w:fldChar w:fldCharType="end"/>
      </w:r>
      <w:r w:rsidRPr="00A66252">
        <w:rPr>
          <w:lang w:val="fr-FR"/>
        </w:rPr>
        <w:t>. </w:t>
      </w:r>
      <w:r w:rsidR="00C93FE5" w:rsidRPr="00A66252">
        <w:rPr>
          <w:lang w:val="fr-FR"/>
        </w:rPr>
        <w:t> </w:t>
      </w:r>
      <w:r w:rsidR="004946FA" w:rsidRPr="00A66252">
        <w:rPr>
          <w:lang w:val="fr-FR"/>
        </w:rPr>
        <w:t>À</w:t>
      </w:r>
      <w:r w:rsidR="00B4033C" w:rsidRPr="00A66252">
        <w:rPr>
          <w:lang w:val="fr-FR"/>
        </w:rPr>
        <w:t xml:space="preserve"> la lumière de ce qui précède, et </w:t>
      </w:r>
      <w:r w:rsidR="00B4033C" w:rsidRPr="00A66252">
        <w:rPr>
          <w:szCs w:val="24"/>
          <w:lang w:val="fr-FR"/>
        </w:rPr>
        <w:t>r</w:t>
      </w:r>
      <w:r w:rsidR="009D21E6" w:rsidRPr="00A66252">
        <w:rPr>
          <w:szCs w:val="24"/>
          <w:lang w:val="fr-FR"/>
        </w:rPr>
        <w:t>appelant qu</w:t>
      </w:r>
      <w:r w:rsidR="00A66252" w:rsidRPr="00A66252">
        <w:rPr>
          <w:szCs w:val="24"/>
          <w:lang w:val="fr-FR"/>
        </w:rPr>
        <w:t>’</w:t>
      </w:r>
      <w:r w:rsidR="009D21E6" w:rsidRPr="00A66252">
        <w:rPr>
          <w:szCs w:val="24"/>
          <w:lang w:val="fr-FR"/>
        </w:rPr>
        <w:t xml:space="preserve">il est </w:t>
      </w:r>
      <w:r w:rsidR="009D21E6" w:rsidRPr="00A66252">
        <w:rPr>
          <w:lang w:val="fr-FR" w:eastAsia="fr-FR"/>
        </w:rPr>
        <w:t>essentiel que la Convention soit interprétée et appliquée d</w:t>
      </w:r>
      <w:r w:rsidR="00A66252" w:rsidRPr="00A66252">
        <w:rPr>
          <w:lang w:val="fr-FR" w:eastAsia="fr-FR"/>
        </w:rPr>
        <w:t>’</w:t>
      </w:r>
      <w:r w:rsidR="009D21E6" w:rsidRPr="00A66252">
        <w:rPr>
          <w:lang w:val="fr-FR" w:eastAsia="fr-FR"/>
        </w:rPr>
        <w:t>une manière qui rende les garanties qu</w:t>
      </w:r>
      <w:r w:rsidR="00A66252" w:rsidRPr="00A66252">
        <w:rPr>
          <w:lang w:val="fr-FR" w:eastAsia="fr-FR"/>
        </w:rPr>
        <w:t>’</w:t>
      </w:r>
      <w:r w:rsidR="009D21E6" w:rsidRPr="00A66252">
        <w:rPr>
          <w:lang w:val="fr-FR" w:eastAsia="fr-FR"/>
        </w:rPr>
        <w:t>elle contient concrètes et effectives et non pas théoriques et illusoires (</w:t>
      </w:r>
      <w:proofErr w:type="spellStart"/>
      <w:r w:rsidR="009D21E6" w:rsidRPr="00A66252">
        <w:rPr>
          <w:i/>
          <w:lang w:val="fr-FR" w:eastAsia="fr-FR"/>
        </w:rPr>
        <w:t>Airey</w:t>
      </w:r>
      <w:proofErr w:type="spellEnd"/>
      <w:r w:rsidR="009D21E6" w:rsidRPr="00A66252">
        <w:rPr>
          <w:i/>
          <w:lang w:val="fr-FR" w:eastAsia="fr-FR"/>
        </w:rPr>
        <w:t xml:space="preserve"> c. Irlan</w:t>
      </w:r>
      <w:bookmarkStart w:id="40" w:name="_GoBack"/>
      <w:bookmarkEnd w:id="40"/>
      <w:r w:rsidR="009D21E6" w:rsidRPr="00A66252">
        <w:rPr>
          <w:i/>
          <w:lang w:val="fr-FR" w:eastAsia="fr-FR"/>
        </w:rPr>
        <w:t>de</w:t>
      </w:r>
      <w:r w:rsidR="009D21E6" w:rsidRPr="00A66252">
        <w:rPr>
          <w:lang w:val="fr-FR" w:eastAsia="fr-FR"/>
        </w:rPr>
        <w:t>, 9 octobre 1979, § 26, série A n</w:t>
      </w:r>
      <w:r w:rsidR="009D21E6" w:rsidRPr="00A66252">
        <w:rPr>
          <w:vertAlign w:val="superscript"/>
          <w:lang w:val="fr-FR" w:eastAsia="fr-FR"/>
        </w:rPr>
        <w:t>o</w:t>
      </w:r>
      <w:r w:rsidR="009D21E6" w:rsidRPr="00A66252">
        <w:rPr>
          <w:lang w:val="fr-FR" w:eastAsia="fr-FR"/>
        </w:rPr>
        <w:t xml:space="preserve"> 32, </w:t>
      </w:r>
      <w:proofErr w:type="spellStart"/>
      <w:r w:rsidR="009D21E6" w:rsidRPr="00A66252">
        <w:rPr>
          <w:i/>
          <w:lang w:val="fr-FR" w:eastAsia="fr-FR"/>
        </w:rPr>
        <w:t>Mamatkoulov</w:t>
      </w:r>
      <w:proofErr w:type="spellEnd"/>
      <w:r w:rsidR="009D21E6" w:rsidRPr="00A66252">
        <w:rPr>
          <w:i/>
          <w:lang w:val="fr-FR" w:eastAsia="fr-FR"/>
        </w:rPr>
        <w:t xml:space="preserve"> et </w:t>
      </w:r>
      <w:proofErr w:type="spellStart"/>
      <w:r w:rsidR="009D21E6" w:rsidRPr="00A66252">
        <w:rPr>
          <w:i/>
          <w:lang w:val="fr-FR" w:eastAsia="fr-FR"/>
        </w:rPr>
        <w:t>Askarov</w:t>
      </w:r>
      <w:proofErr w:type="spellEnd"/>
      <w:r w:rsidR="009D21E6" w:rsidRPr="00A66252">
        <w:rPr>
          <w:i/>
          <w:lang w:val="fr-FR" w:eastAsia="fr-FR"/>
        </w:rPr>
        <w:t xml:space="preserve"> c. Turquie</w:t>
      </w:r>
      <w:r w:rsidR="009D21E6" w:rsidRPr="00A66252">
        <w:rPr>
          <w:lang w:val="fr-FR" w:eastAsia="fr-FR"/>
        </w:rPr>
        <w:t xml:space="preserve"> [GC], n</w:t>
      </w:r>
      <w:r w:rsidR="009D21E6" w:rsidRPr="00A66252">
        <w:rPr>
          <w:vertAlign w:val="superscript"/>
          <w:lang w:val="fr-FR" w:eastAsia="fr-FR"/>
        </w:rPr>
        <w:t>os</w:t>
      </w:r>
      <w:r w:rsidR="009D21E6" w:rsidRPr="00A66252">
        <w:rPr>
          <w:lang w:val="fr-FR" w:eastAsia="fr-FR"/>
        </w:rPr>
        <w:t xml:space="preserve"> 46827/99 et 46951/99, § 121, CEDH 2005-I, et</w:t>
      </w:r>
      <w:r w:rsidR="00ED6D21" w:rsidRPr="00A66252">
        <w:rPr>
          <w:snapToGrid w:val="0"/>
          <w:szCs w:val="24"/>
          <w:lang w:val="fr-FR"/>
        </w:rPr>
        <w:t xml:space="preserve"> </w:t>
      </w:r>
      <w:proofErr w:type="spellStart"/>
      <w:r w:rsidR="00ED6D21" w:rsidRPr="00A66252">
        <w:rPr>
          <w:i/>
          <w:lang w:val="fr-FR"/>
        </w:rPr>
        <w:t>Hirsi</w:t>
      </w:r>
      <w:proofErr w:type="spellEnd"/>
      <w:r w:rsidR="00ED6D21" w:rsidRPr="00A66252">
        <w:rPr>
          <w:i/>
          <w:lang w:val="fr-FR"/>
        </w:rPr>
        <w:t xml:space="preserve"> </w:t>
      </w:r>
      <w:proofErr w:type="spellStart"/>
      <w:r w:rsidR="00ED6D21" w:rsidRPr="00A66252">
        <w:rPr>
          <w:i/>
          <w:lang w:val="fr-FR"/>
        </w:rPr>
        <w:t>Jamaa</w:t>
      </w:r>
      <w:proofErr w:type="spellEnd"/>
      <w:r w:rsidR="00ED6D21" w:rsidRPr="00A66252">
        <w:rPr>
          <w:i/>
          <w:lang w:val="fr-FR"/>
        </w:rPr>
        <w:t xml:space="preserve"> et autres c. Italie </w:t>
      </w:r>
      <w:r w:rsidR="00ED6D21" w:rsidRPr="00A66252">
        <w:rPr>
          <w:lang w:val="fr-FR"/>
        </w:rPr>
        <w:t>[GC], n</w:t>
      </w:r>
      <w:r w:rsidR="00ED6D21" w:rsidRPr="00A66252">
        <w:rPr>
          <w:vertAlign w:val="superscript"/>
          <w:lang w:val="fr-FR"/>
        </w:rPr>
        <w:t>o</w:t>
      </w:r>
      <w:r w:rsidR="00ED6D21" w:rsidRPr="00A66252">
        <w:rPr>
          <w:lang w:val="fr-FR"/>
        </w:rPr>
        <w:t xml:space="preserve"> 27765/09</w:t>
      </w:r>
      <w:r w:rsidR="00ED6D21" w:rsidRPr="00A66252">
        <w:rPr>
          <w:snapToGrid w:val="0"/>
          <w:szCs w:val="24"/>
          <w:lang w:val="fr-FR"/>
        </w:rPr>
        <w:t xml:space="preserve">, § 175, </w:t>
      </w:r>
      <w:r w:rsidR="00ED6D21" w:rsidRPr="00A66252">
        <w:rPr>
          <w:snapToGrid w:val="0"/>
          <w:lang w:val="fr-FR"/>
        </w:rPr>
        <w:t>CEDH 2012</w:t>
      </w:r>
      <w:r w:rsidR="009D21E6" w:rsidRPr="00A66252">
        <w:rPr>
          <w:lang w:val="fr-FR" w:eastAsia="fr-FR"/>
        </w:rPr>
        <w:t xml:space="preserve">), la </w:t>
      </w:r>
      <w:r w:rsidR="009D21E6" w:rsidRPr="00A66252">
        <w:rPr>
          <w:lang w:val="fr-FR"/>
        </w:rPr>
        <w:t>Cour</w:t>
      </w:r>
      <w:r w:rsidR="00486AB1" w:rsidRPr="00A66252">
        <w:rPr>
          <w:lang w:val="fr-FR"/>
        </w:rPr>
        <w:t xml:space="preserve"> est d</w:t>
      </w:r>
      <w:r w:rsidR="00A66252" w:rsidRPr="00A66252">
        <w:rPr>
          <w:lang w:val="fr-FR"/>
        </w:rPr>
        <w:t>’</w:t>
      </w:r>
      <w:r w:rsidR="00486AB1" w:rsidRPr="00A66252">
        <w:rPr>
          <w:lang w:val="fr-FR"/>
        </w:rPr>
        <w:t xml:space="preserve">avis </w:t>
      </w:r>
      <w:r w:rsidR="00B4033C" w:rsidRPr="00A66252">
        <w:rPr>
          <w:lang w:val="fr-FR"/>
        </w:rPr>
        <w:t>qu</w:t>
      </w:r>
      <w:r w:rsidR="00A66252" w:rsidRPr="00A66252">
        <w:rPr>
          <w:lang w:val="fr-FR"/>
        </w:rPr>
        <w:t>’</w:t>
      </w:r>
      <w:r w:rsidR="00B4033C" w:rsidRPr="00A66252">
        <w:rPr>
          <w:lang w:val="fr-FR"/>
        </w:rPr>
        <w:t xml:space="preserve">il y a lieu </w:t>
      </w:r>
      <w:r w:rsidR="0080452E" w:rsidRPr="00A66252">
        <w:rPr>
          <w:lang w:val="fr-FR"/>
        </w:rPr>
        <w:t>de clarifier</w:t>
      </w:r>
      <w:r w:rsidR="00486AB1" w:rsidRPr="00A66252">
        <w:rPr>
          <w:lang w:val="fr-FR"/>
        </w:rPr>
        <w:t xml:space="preserve"> </w:t>
      </w:r>
      <w:r w:rsidR="00136982" w:rsidRPr="00A66252">
        <w:rPr>
          <w:lang w:val="fr-FR"/>
        </w:rPr>
        <w:t>l</w:t>
      </w:r>
      <w:r w:rsidR="00A66252" w:rsidRPr="00A66252">
        <w:rPr>
          <w:lang w:val="fr-FR"/>
        </w:rPr>
        <w:t>’</w:t>
      </w:r>
      <w:r w:rsidR="00136982" w:rsidRPr="00A66252">
        <w:rPr>
          <w:lang w:val="fr-FR"/>
        </w:rPr>
        <w:t xml:space="preserve">approche </w:t>
      </w:r>
      <w:r w:rsidR="00B4033C" w:rsidRPr="00A66252">
        <w:rPr>
          <w:lang w:val="fr-FR"/>
        </w:rPr>
        <w:t xml:space="preserve">suivie </w:t>
      </w:r>
      <w:r w:rsidR="009D21E6" w:rsidRPr="00A66252">
        <w:rPr>
          <w:lang w:val="fr-FR"/>
        </w:rPr>
        <w:t>jusqu</w:t>
      </w:r>
      <w:r w:rsidR="00A66252" w:rsidRPr="00A66252">
        <w:rPr>
          <w:lang w:val="fr-FR"/>
        </w:rPr>
        <w:t>’</w:t>
      </w:r>
      <w:r w:rsidR="009D21E6" w:rsidRPr="00A66252">
        <w:rPr>
          <w:lang w:val="fr-FR"/>
        </w:rPr>
        <w:t>à présent</w:t>
      </w:r>
      <w:r w:rsidR="00486AB1" w:rsidRPr="00A66252">
        <w:rPr>
          <w:szCs w:val="24"/>
          <w:lang w:val="fr-FR"/>
        </w:rPr>
        <w:t>.</w:t>
      </w:r>
    </w:p>
    <w:bookmarkStart w:id="41" w:name="NVSEUIL1"/>
    <w:p w:rsidR="00300348" w:rsidRPr="00A66252" w:rsidRDefault="00833A3A"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183</w:t>
      </w:r>
      <w:r w:rsidRPr="00A66252">
        <w:rPr>
          <w:lang w:val="fr-FR" w:eastAsia="fr-FR"/>
        </w:rPr>
        <w:fldChar w:fldCharType="end"/>
      </w:r>
      <w:bookmarkEnd w:id="41"/>
      <w:r w:rsidRPr="00A66252">
        <w:rPr>
          <w:lang w:val="fr-FR" w:eastAsia="fr-FR"/>
        </w:rPr>
        <w:t>.  </w:t>
      </w:r>
      <w:r w:rsidR="00E47236" w:rsidRPr="00A66252">
        <w:rPr>
          <w:lang w:val="fr-FR" w:eastAsia="fr-FR"/>
        </w:rPr>
        <w:t>La</w:t>
      </w:r>
      <w:r w:rsidRPr="00A66252">
        <w:rPr>
          <w:rFonts w:eastAsiaTheme="minorHAnsi"/>
          <w:szCs w:val="24"/>
          <w:lang w:val="fr-FR" w:eastAsia="fr-FR"/>
        </w:rPr>
        <w:t xml:space="preserve"> Cour </w:t>
      </w:r>
      <w:r w:rsidRPr="00A66252">
        <w:rPr>
          <w:lang w:val="fr-FR" w:eastAsia="fr-FR"/>
        </w:rPr>
        <w:t>estime qu</w:t>
      </w:r>
      <w:r w:rsidR="00A66252" w:rsidRPr="00A66252">
        <w:rPr>
          <w:lang w:val="fr-FR" w:eastAsia="fr-FR"/>
        </w:rPr>
        <w:t>’</w:t>
      </w:r>
      <w:r w:rsidRPr="00A66252">
        <w:rPr>
          <w:lang w:val="fr-FR" w:eastAsia="fr-FR"/>
        </w:rPr>
        <w:t xml:space="preserve">il </w:t>
      </w:r>
      <w:r w:rsidR="00F76A4A" w:rsidRPr="00A66252">
        <w:rPr>
          <w:lang w:val="fr-FR" w:eastAsia="fr-FR"/>
        </w:rPr>
        <w:t>faut entendre</w:t>
      </w:r>
      <w:r w:rsidRPr="00A66252">
        <w:rPr>
          <w:lang w:val="fr-FR" w:eastAsia="fr-FR"/>
        </w:rPr>
        <w:t xml:space="preserve"> par « autres cas très exceptionnels</w:t>
      </w:r>
      <w:r w:rsidR="0070474E" w:rsidRPr="00A66252">
        <w:rPr>
          <w:lang w:val="fr-FR" w:eastAsia="fr-FR"/>
        </w:rPr>
        <w:t> </w:t>
      </w:r>
      <w:r w:rsidRPr="00A66252">
        <w:rPr>
          <w:lang w:val="fr-FR" w:eastAsia="fr-FR"/>
        </w:rPr>
        <w:t>»</w:t>
      </w:r>
      <w:r w:rsidRPr="00A66252">
        <w:rPr>
          <w:rFonts w:eastAsiaTheme="minorHAnsi"/>
          <w:szCs w:val="24"/>
          <w:lang w:val="fr-FR" w:eastAsia="fr-FR"/>
        </w:rPr>
        <w:t xml:space="preserve"> pouvant soulever</w:t>
      </w:r>
      <w:r w:rsidR="00064E7B" w:rsidRPr="00A66252">
        <w:rPr>
          <w:rFonts w:eastAsiaTheme="minorHAnsi"/>
          <w:szCs w:val="24"/>
          <w:lang w:val="fr-FR" w:eastAsia="fr-FR"/>
        </w:rPr>
        <w:t>, au sens de l</w:t>
      </w:r>
      <w:r w:rsidR="00A66252" w:rsidRPr="00A66252">
        <w:rPr>
          <w:rFonts w:eastAsiaTheme="minorHAnsi"/>
          <w:szCs w:val="24"/>
          <w:lang w:val="fr-FR" w:eastAsia="fr-FR"/>
        </w:rPr>
        <w:t>’</w:t>
      </w:r>
      <w:r w:rsidR="00064E7B" w:rsidRPr="00A66252">
        <w:rPr>
          <w:rFonts w:eastAsiaTheme="minorHAnsi"/>
          <w:szCs w:val="24"/>
          <w:lang w:val="fr-FR" w:eastAsia="fr-FR"/>
        </w:rPr>
        <w:t xml:space="preserve">arrêt </w:t>
      </w:r>
      <w:r w:rsidR="00064E7B" w:rsidRPr="00A66252">
        <w:rPr>
          <w:rFonts w:eastAsiaTheme="minorHAnsi"/>
          <w:i/>
          <w:szCs w:val="24"/>
          <w:lang w:val="fr-FR" w:eastAsia="fr-FR"/>
        </w:rPr>
        <w:t>N.</w:t>
      </w:r>
      <w:r w:rsidR="00105220" w:rsidRPr="00A66252">
        <w:rPr>
          <w:rFonts w:eastAsiaTheme="minorHAnsi"/>
          <w:i/>
          <w:szCs w:val="24"/>
          <w:lang w:val="fr-FR" w:eastAsia="fr-FR"/>
        </w:rPr>
        <w:t xml:space="preserve"> c. Royaume-Uni</w:t>
      </w:r>
      <w:r w:rsidR="00B32D6C" w:rsidRPr="00A66252">
        <w:rPr>
          <w:rFonts w:eastAsiaTheme="minorHAnsi"/>
          <w:szCs w:val="24"/>
          <w:lang w:val="fr-FR" w:eastAsia="fr-FR"/>
        </w:rPr>
        <w:t xml:space="preserve"> (§ </w:t>
      </w:r>
      <w:r w:rsidR="00105220" w:rsidRPr="00A66252">
        <w:rPr>
          <w:rFonts w:eastAsiaTheme="minorHAnsi"/>
          <w:szCs w:val="24"/>
          <w:lang w:val="fr-FR" w:eastAsia="fr-FR"/>
        </w:rPr>
        <w:t>4</w:t>
      </w:r>
      <w:r w:rsidR="00E241E8" w:rsidRPr="00A66252">
        <w:rPr>
          <w:rFonts w:eastAsiaTheme="minorHAnsi"/>
          <w:szCs w:val="24"/>
          <w:lang w:val="fr-FR" w:eastAsia="fr-FR"/>
        </w:rPr>
        <w:t>3</w:t>
      </w:r>
      <w:r w:rsidR="00105220" w:rsidRPr="00A66252">
        <w:rPr>
          <w:rFonts w:eastAsiaTheme="minorHAnsi"/>
          <w:szCs w:val="24"/>
          <w:lang w:val="fr-FR" w:eastAsia="fr-FR"/>
        </w:rPr>
        <w:t>)</w:t>
      </w:r>
      <w:r w:rsidR="00064E7B" w:rsidRPr="00A66252">
        <w:rPr>
          <w:rFonts w:eastAsiaTheme="minorHAnsi"/>
          <w:szCs w:val="24"/>
          <w:lang w:val="fr-FR" w:eastAsia="fr-FR"/>
        </w:rPr>
        <w:t xml:space="preserve">, </w:t>
      </w:r>
      <w:r w:rsidRPr="00A66252">
        <w:rPr>
          <w:rFonts w:eastAsiaTheme="minorHAnsi"/>
          <w:szCs w:val="24"/>
          <w:lang w:val="fr-FR" w:eastAsia="fr-FR"/>
        </w:rPr>
        <w:t>un problème au regard de l</w:t>
      </w:r>
      <w:r w:rsidR="00A66252" w:rsidRPr="00A66252">
        <w:rPr>
          <w:rFonts w:eastAsiaTheme="minorHAnsi"/>
          <w:szCs w:val="24"/>
          <w:lang w:val="fr-FR" w:eastAsia="fr-FR"/>
        </w:rPr>
        <w:t>’</w:t>
      </w:r>
      <w:r w:rsidRPr="00A66252">
        <w:rPr>
          <w:rFonts w:eastAsiaTheme="minorHAnsi"/>
          <w:szCs w:val="24"/>
          <w:lang w:val="fr-FR" w:eastAsia="fr-FR"/>
        </w:rPr>
        <w:t xml:space="preserve">article 3 les cas </w:t>
      </w:r>
      <w:r w:rsidR="00DE4139" w:rsidRPr="00A66252">
        <w:rPr>
          <w:rFonts w:eastAsiaTheme="minorHAnsi"/>
          <w:szCs w:val="24"/>
          <w:lang w:val="fr-FR" w:eastAsia="fr-FR"/>
        </w:rPr>
        <w:t>d</w:t>
      </w:r>
      <w:r w:rsidR="00A66252" w:rsidRPr="00A66252">
        <w:rPr>
          <w:rFonts w:eastAsiaTheme="minorHAnsi"/>
          <w:szCs w:val="24"/>
          <w:lang w:val="fr-FR" w:eastAsia="fr-FR"/>
        </w:rPr>
        <w:t>’</w:t>
      </w:r>
      <w:r w:rsidR="00DE4139" w:rsidRPr="00A66252">
        <w:rPr>
          <w:rFonts w:eastAsiaTheme="minorHAnsi"/>
          <w:szCs w:val="24"/>
          <w:lang w:val="fr-FR" w:eastAsia="fr-FR"/>
        </w:rPr>
        <w:t>éloignement</w:t>
      </w:r>
      <w:r w:rsidRPr="00A66252">
        <w:rPr>
          <w:rFonts w:eastAsiaTheme="minorHAnsi"/>
          <w:szCs w:val="24"/>
          <w:lang w:val="fr-FR" w:eastAsia="fr-FR"/>
        </w:rPr>
        <w:t xml:space="preserve"> d</w:t>
      </w:r>
      <w:r w:rsidR="00A66252" w:rsidRPr="00A66252">
        <w:rPr>
          <w:rFonts w:eastAsiaTheme="minorHAnsi"/>
          <w:szCs w:val="24"/>
          <w:lang w:val="fr-FR" w:eastAsia="fr-FR"/>
        </w:rPr>
        <w:t>’</w:t>
      </w:r>
      <w:r w:rsidRPr="00A66252">
        <w:rPr>
          <w:rFonts w:eastAsiaTheme="minorHAnsi"/>
          <w:szCs w:val="24"/>
          <w:lang w:val="fr-FR" w:eastAsia="fr-FR"/>
        </w:rPr>
        <w:t>une personne gravement malade dans lesquels il y a des motifs sérieux de croire qu</w:t>
      </w:r>
      <w:r w:rsidR="00DE4139" w:rsidRPr="00A66252">
        <w:rPr>
          <w:rFonts w:eastAsiaTheme="minorHAnsi"/>
          <w:szCs w:val="24"/>
          <w:lang w:val="fr-FR" w:eastAsia="fr-FR"/>
        </w:rPr>
        <w:t>e</w:t>
      </w:r>
      <w:r w:rsidR="008D693B" w:rsidRPr="00A66252">
        <w:rPr>
          <w:rFonts w:eastAsiaTheme="minorHAnsi"/>
          <w:szCs w:val="24"/>
          <w:lang w:val="fr-FR" w:eastAsia="fr-FR"/>
        </w:rPr>
        <w:t xml:space="preserve"> </w:t>
      </w:r>
      <w:r w:rsidR="00DE4139" w:rsidRPr="00A66252">
        <w:rPr>
          <w:rFonts w:eastAsiaTheme="minorHAnsi"/>
          <w:szCs w:val="24"/>
          <w:lang w:val="fr-FR" w:eastAsia="fr-FR"/>
        </w:rPr>
        <w:t>cette personne, bien que ne courant pas de risque imminent de mourir, ferait face, en raison de l</w:t>
      </w:r>
      <w:r w:rsidR="00A66252" w:rsidRPr="00A66252">
        <w:rPr>
          <w:rFonts w:eastAsiaTheme="minorHAnsi"/>
          <w:szCs w:val="24"/>
          <w:lang w:val="fr-FR" w:eastAsia="fr-FR"/>
        </w:rPr>
        <w:t>’</w:t>
      </w:r>
      <w:r w:rsidR="00DE4139" w:rsidRPr="00A66252">
        <w:rPr>
          <w:rFonts w:eastAsiaTheme="minorHAnsi"/>
          <w:szCs w:val="24"/>
          <w:lang w:val="fr-FR" w:eastAsia="fr-FR"/>
        </w:rPr>
        <w:t xml:space="preserve">absence de traitements adéquats </w:t>
      </w:r>
      <w:r w:rsidR="00936991" w:rsidRPr="00A66252">
        <w:rPr>
          <w:rFonts w:eastAsiaTheme="minorHAnsi"/>
          <w:szCs w:val="24"/>
          <w:lang w:val="fr-FR" w:eastAsia="fr-FR"/>
        </w:rPr>
        <w:t>dans le pays de destination ou du défaut d</w:t>
      </w:r>
      <w:r w:rsidR="00A66252" w:rsidRPr="00A66252">
        <w:rPr>
          <w:rFonts w:eastAsiaTheme="minorHAnsi"/>
          <w:szCs w:val="24"/>
          <w:lang w:val="fr-FR" w:eastAsia="fr-FR"/>
        </w:rPr>
        <w:t>’</w:t>
      </w:r>
      <w:r w:rsidR="00936991" w:rsidRPr="00A66252">
        <w:rPr>
          <w:rFonts w:eastAsiaTheme="minorHAnsi"/>
          <w:szCs w:val="24"/>
          <w:lang w:val="fr-FR" w:eastAsia="fr-FR"/>
        </w:rPr>
        <w:t xml:space="preserve">accès à ceux-ci, </w:t>
      </w:r>
      <w:r w:rsidR="00DE4139" w:rsidRPr="00A66252">
        <w:rPr>
          <w:rFonts w:eastAsiaTheme="minorHAnsi"/>
          <w:szCs w:val="24"/>
          <w:lang w:val="fr-FR" w:eastAsia="fr-FR"/>
        </w:rPr>
        <w:t>à un risque réel d</w:t>
      </w:r>
      <w:r w:rsidR="00A66252" w:rsidRPr="00A66252">
        <w:rPr>
          <w:rFonts w:eastAsiaTheme="minorHAnsi"/>
          <w:szCs w:val="24"/>
          <w:lang w:val="fr-FR" w:eastAsia="fr-FR"/>
        </w:rPr>
        <w:t>’</w:t>
      </w:r>
      <w:r w:rsidR="00DE4139" w:rsidRPr="00A66252">
        <w:rPr>
          <w:rFonts w:eastAsiaTheme="minorHAnsi"/>
          <w:szCs w:val="24"/>
          <w:lang w:val="fr-FR" w:eastAsia="fr-FR"/>
        </w:rPr>
        <w:t>être exposée à un</w:t>
      </w:r>
      <w:r w:rsidR="000F51DE" w:rsidRPr="00A66252">
        <w:rPr>
          <w:rFonts w:eastAsiaTheme="minorHAnsi"/>
          <w:szCs w:val="24"/>
          <w:lang w:val="fr-FR" w:eastAsia="fr-FR"/>
        </w:rPr>
        <w:t xml:space="preserve"> déclin </w:t>
      </w:r>
      <w:r w:rsidR="00DE4139" w:rsidRPr="00A66252">
        <w:rPr>
          <w:rFonts w:eastAsiaTheme="minorHAnsi"/>
          <w:szCs w:val="24"/>
          <w:lang w:val="fr-FR" w:eastAsia="fr-FR"/>
        </w:rPr>
        <w:t xml:space="preserve">grave, rapide et irréversible de son état de santé entraînant des souffrances intenses ou </w:t>
      </w:r>
      <w:r w:rsidR="000F51DE" w:rsidRPr="00A66252">
        <w:rPr>
          <w:rFonts w:eastAsiaTheme="minorHAnsi"/>
          <w:szCs w:val="24"/>
          <w:lang w:val="fr-FR" w:eastAsia="fr-FR"/>
        </w:rPr>
        <w:t xml:space="preserve">à </w:t>
      </w:r>
      <w:r w:rsidR="00DE4139" w:rsidRPr="00A66252">
        <w:rPr>
          <w:rFonts w:eastAsiaTheme="minorHAnsi"/>
          <w:szCs w:val="24"/>
          <w:lang w:val="fr-FR" w:eastAsia="fr-FR"/>
        </w:rPr>
        <w:t>une réduction significative de son espérance de vie</w:t>
      </w:r>
      <w:r w:rsidRPr="00A66252">
        <w:rPr>
          <w:rFonts w:eastAsiaTheme="minorHAnsi"/>
          <w:szCs w:val="24"/>
          <w:lang w:val="fr-FR" w:eastAsia="fr-FR"/>
        </w:rPr>
        <w:t>.</w:t>
      </w:r>
      <w:r w:rsidR="0070474E" w:rsidRPr="00A66252">
        <w:rPr>
          <w:rFonts w:eastAsiaTheme="minorHAnsi"/>
          <w:szCs w:val="24"/>
          <w:lang w:val="fr-FR" w:eastAsia="fr-FR"/>
        </w:rPr>
        <w:t xml:space="preserve"> </w:t>
      </w:r>
      <w:r w:rsidR="004E7037" w:rsidRPr="00A66252">
        <w:rPr>
          <w:lang w:val="fr-FR"/>
        </w:rPr>
        <w:t xml:space="preserve">La Cour précise que </w:t>
      </w:r>
      <w:r w:rsidR="004E7037" w:rsidRPr="00A66252">
        <w:rPr>
          <w:lang w:val="fr-FR" w:eastAsia="fr-FR"/>
        </w:rPr>
        <w:t>c</w:t>
      </w:r>
      <w:r w:rsidR="00136982" w:rsidRPr="00A66252">
        <w:rPr>
          <w:lang w:val="fr-FR"/>
        </w:rPr>
        <w:t>es</w:t>
      </w:r>
      <w:r w:rsidR="006872B3" w:rsidRPr="00A66252">
        <w:rPr>
          <w:lang w:val="fr-FR"/>
        </w:rPr>
        <w:t xml:space="preserve"> </w:t>
      </w:r>
      <w:r w:rsidR="00136982" w:rsidRPr="00A66252">
        <w:rPr>
          <w:lang w:val="fr-FR"/>
        </w:rPr>
        <w:t>cas</w:t>
      </w:r>
      <w:r w:rsidR="00936991" w:rsidRPr="00A66252">
        <w:rPr>
          <w:lang w:val="fr-FR"/>
        </w:rPr>
        <w:t xml:space="preserve"> correspondent</w:t>
      </w:r>
      <w:r w:rsidR="00136982" w:rsidRPr="00A66252">
        <w:rPr>
          <w:lang w:val="fr-FR"/>
        </w:rPr>
        <w:t xml:space="preserve"> à</w:t>
      </w:r>
      <w:r w:rsidR="00300348" w:rsidRPr="00A66252">
        <w:rPr>
          <w:lang w:val="fr-FR" w:eastAsia="fr-FR"/>
        </w:rPr>
        <w:t xml:space="preserve"> un seuil élevé pour l</w:t>
      </w:r>
      <w:r w:rsidR="00A66252" w:rsidRPr="00A66252">
        <w:rPr>
          <w:lang w:val="fr-FR" w:eastAsia="fr-FR"/>
        </w:rPr>
        <w:t>’</w:t>
      </w:r>
      <w:r w:rsidR="00300348" w:rsidRPr="00A66252">
        <w:rPr>
          <w:lang w:val="fr-FR" w:eastAsia="fr-FR"/>
        </w:rPr>
        <w:t>application de l</w:t>
      </w:r>
      <w:r w:rsidR="00A66252" w:rsidRPr="00A66252">
        <w:rPr>
          <w:lang w:val="fr-FR" w:eastAsia="fr-FR"/>
        </w:rPr>
        <w:t>’</w:t>
      </w:r>
      <w:r w:rsidR="00300348" w:rsidRPr="00A66252">
        <w:rPr>
          <w:lang w:val="fr-FR" w:eastAsia="fr-FR"/>
        </w:rPr>
        <w:t xml:space="preserve">article 3 de la Convention dans les affaires </w:t>
      </w:r>
      <w:r w:rsidR="009E68C8" w:rsidRPr="00A66252">
        <w:rPr>
          <w:lang w:val="fr-FR" w:eastAsia="fr-FR"/>
        </w:rPr>
        <w:t>relatives à l</w:t>
      </w:r>
      <w:r w:rsidR="00A66252" w:rsidRPr="00A66252">
        <w:rPr>
          <w:lang w:val="fr-FR" w:eastAsia="fr-FR"/>
        </w:rPr>
        <w:t>’</w:t>
      </w:r>
      <w:r w:rsidR="009E68C8" w:rsidRPr="00A66252">
        <w:rPr>
          <w:lang w:val="fr-FR" w:eastAsia="fr-FR"/>
        </w:rPr>
        <w:t>éloignement des étrangers gravement malades.</w:t>
      </w:r>
    </w:p>
    <w:bookmarkStart w:id="42" w:name="NVSEUIL2"/>
    <w:bookmarkStart w:id="43" w:name="SUBS"/>
    <w:p w:rsidR="002C3860" w:rsidRPr="00A66252" w:rsidRDefault="003B363E" w:rsidP="00A66252">
      <w:pPr>
        <w:pStyle w:val="ECHRPara"/>
        <w:rPr>
          <w:i/>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184</w:t>
      </w:r>
      <w:r w:rsidRPr="00A66252">
        <w:rPr>
          <w:lang w:val="fr-FR" w:eastAsia="fr-FR"/>
        </w:rPr>
        <w:fldChar w:fldCharType="end"/>
      </w:r>
      <w:bookmarkEnd w:id="42"/>
      <w:bookmarkEnd w:id="43"/>
      <w:r w:rsidRPr="00A66252">
        <w:rPr>
          <w:lang w:val="fr-FR" w:eastAsia="fr-FR"/>
        </w:rPr>
        <w:t>. </w:t>
      </w:r>
      <w:r w:rsidR="002C7116" w:rsidRPr="00A66252">
        <w:rPr>
          <w:lang w:val="fr-FR" w:eastAsia="fr-FR"/>
        </w:rPr>
        <w:t> </w:t>
      </w:r>
      <w:r w:rsidR="002C3860" w:rsidRPr="00A66252">
        <w:rPr>
          <w:lang w:val="fr-FR" w:eastAsia="fr-FR"/>
        </w:rPr>
        <w:t>Quant au point de savoir si ces conditions sont remplies dans un cas d</w:t>
      </w:r>
      <w:r w:rsidR="00A66252" w:rsidRPr="00A66252">
        <w:rPr>
          <w:lang w:val="fr-FR" w:eastAsia="fr-FR"/>
        </w:rPr>
        <w:t>’</w:t>
      </w:r>
      <w:r w:rsidR="002C3860" w:rsidRPr="00A66252">
        <w:rPr>
          <w:lang w:val="fr-FR" w:eastAsia="fr-FR"/>
        </w:rPr>
        <w:t>espèce, la Cour rappelle que d</w:t>
      </w:r>
      <w:r w:rsidR="002C3860" w:rsidRPr="00A66252">
        <w:rPr>
          <w:lang w:val="fr-FR"/>
        </w:rPr>
        <w:t>ans les affaires mettant en cause l</w:t>
      </w:r>
      <w:r w:rsidR="00A66252" w:rsidRPr="00A66252">
        <w:rPr>
          <w:lang w:val="fr-FR"/>
        </w:rPr>
        <w:t>’</w:t>
      </w:r>
      <w:r w:rsidR="002C3860" w:rsidRPr="00A66252">
        <w:rPr>
          <w:lang w:val="fr-FR"/>
        </w:rPr>
        <w:t>expulsion d</w:t>
      </w:r>
      <w:r w:rsidR="00A66252" w:rsidRPr="00A66252">
        <w:rPr>
          <w:lang w:val="fr-FR"/>
        </w:rPr>
        <w:t>’</w:t>
      </w:r>
      <w:r w:rsidR="002C3860" w:rsidRPr="00A66252">
        <w:rPr>
          <w:lang w:val="fr-FR"/>
        </w:rPr>
        <w:t>un étranger, la Cour se garde d</w:t>
      </w:r>
      <w:r w:rsidR="00A66252" w:rsidRPr="00A66252">
        <w:rPr>
          <w:lang w:val="fr-FR"/>
        </w:rPr>
        <w:t>’</w:t>
      </w:r>
      <w:r w:rsidR="002C3860" w:rsidRPr="00A66252">
        <w:rPr>
          <w:lang w:val="fr-FR"/>
        </w:rPr>
        <w:t xml:space="preserve">examiner elle-même les demandes de protection internationale ou de contrôler la manière dont les États contrôlent </w:t>
      </w:r>
      <w:r w:rsidR="002C3860" w:rsidRPr="00A66252">
        <w:rPr>
          <w:lang w:val="fr-FR" w:eastAsia="fr-FR"/>
        </w:rPr>
        <w:t>l</w:t>
      </w:r>
      <w:r w:rsidR="00A66252" w:rsidRPr="00A66252">
        <w:rPr>
          <w:lang w:val="fr-FR" w:eastAsia="fr-FR"/>
        </w:rPr>
        <w:t>’</w:t>
      </w:r>
      <w:r w:rsidR="002C3860" w:rsidRPr="00A66252">
        <w:rPr>
          <w:lang w:val="fr-FR" w:eastAsia="fr-FR"/>
        </w:rPr>
        <w:t>entrée, le séjour et l</w:t>
      </w:r>
      <w:r w:rsidR="00A66252" w:rsidRPr="00A66252">
        <w:rPr>
          <w:lang w:val="fr-FR" w:eastAsia="fr-FR"/>
        </w:rPr>
        <w:t>’</w:t>
      </w:r>
      <w:r w:rsidR="002C3860" w:rsidRPr="00A66252">
        <w:rPr>
          <w:lang w:val="fr-FR" w:eastAsia="fr-FR"/>
        </w:rPr>
        <w:t>éloignement des non-nationaux</w:t>
      </w:r>
      <w:r w:rsidR="002C3860" w:rsidRPr="00A66252">
        <w:rPr>
          <w:lang w:val="fr-FR"/>
        </w:rPr>
        <w:t>. En vertu de l</w:t>
      </w:r>
      <w:r w:rsidR="00A66252" w:rsidRPr="00A66252">
        <w:rPr>
          <w:lang w:val="fr-FR"/>
        </w:rPr>
        <w:t>’</w:t>
      </w:r>
      <w:r w:rsidR="002C3860" w:rsidRPr="00A66252">
        <w:rPr>
          <w:lang w:val="fr-FR"/>
        </w:rPr>
        <w:t>article 1 de la Convention, ce sont en effet les autorités internes qui sont responsables au premier chef de la mise en œuvre et de la sanction des droits et libertés garantis</w:t>
      </w:r>
      <w:r w:rsidR="002C3860" w:rsidRPr="00A66252">
        <w:rPr>
          <w:lang w:val="fr-FR" w:eastAsia="fr-FR"/>
        </w:rPr>
        <w:t xml:space="preserve"> et qui sont, à ce titre, tenues d</w:t>
      </w:r>
      <w:r w:rsidR="00A66252" w:rsidRPr="00A66252">
        <w:rPr>
          <w:lang w:val="fr-FR" w:eastAsia="fr-FR"/>
        </w:rPr>
        <w:t>’</w:t>
      </w:r>
      <w:r w:rsidR="002C3860" w:rsidRPr="00A66252">
        <w:rPr>
          <w:lang w:val="fr-FR" w:eastAsia="fr-FR"/>
        </w:rPr>
        <w:t>examiner les craintes exprimées par les requérants et d</w:t>
      </w:r>
      <w:r w:rsidR="00A66252" w:rsidRPr="00A66252">
        <w:rPr>
          <w:lang w:val="fr-FR" w:eastAsia="fr-FR"/>
        </w:rPr>
        <w:t>’</w:t>
      </w:r>
      <w:r w:rsidR="002C3860" w:rsidRPr="00A66252">
        <w:rPr>
          <w:lang w:val="fr-FR" w:eastAsia="fr-FR"/>
        </w:rPr>
        <w:t>évaluer les risques qu</w:t>
      </w:r>
      <w:r w:rsidR="00A66252" w:rsidRPr="00A66252">
        <w:rPr>
          <w:lang w:val="fr-FR" w:eastAsia="fr-FR"/>
        </w:rPr>
        <w:t>’</w:t>
      </w:r>
      <w:r w:rsidR="002C3860" w:rsidRPr="00A66252">
        <w:rPr>
          <w:lang w:val="fr-FR" w:eastAsia="fr-FR"/>
        </w:rPr>
        <w:t xml:space="preserve">ils encourent en cas de renvoi dans le pays </w:t>
      </w:r>
      <w:r w:rsidR="009566AB" w:rsidRPr="00A66252">
        <w:rPr>
          <w:lang w:val="fr-FR" w:eastAsia="fr-FR"/>
        </w:rPr>
        <w:t>de destination</w:t>
      </w:r>
      <w:r w:rsidR="002C3860" w:rsidRPr="00A66252">
        <w:rPr>
          <w:lang w:val="fr-FR" w:eastAsia="fr-FR"/>
        </w:rPr>
        <w:t xml:space="preserve"> au regard de l</w:t>
      </w:r>
      <w:r w:rsidR="00A66252" w:rsidRPr="00A66252">
        <w:rPr>
          <w:lang w:val="fr-FR" w:eastAsia="fr-FR"/>
        </w:rPr>
        <w:t>’</w:t>
      </w:r>
      <w:r w:rsidR="0070474E" w:rsidRPr="00A66252">
        <w:rPr>
          <w:lang w:val="fr-FR" w:eastAsia="fr-FR"/>
        </w:rPr>
        <w:t>article </w:t>
      </w:r>
      <w:r w:rsidR="002C3860" w:rsidRPr="00A66252">
        <w:rPr>
          <w:lang w:val="fr-FR" w:eastAsia="fr-FR"/>
        </w:rPr>
        <w:t>3.</w:t>
      </w:r>
      <w:r w:rsidR="002C3860" w:rsidRPr="00A66252">
        <w:rPr>
          <w:lang w:val="fr-FR"/>
        </w:rPr>
        <w:t xml:space="preserve"> Le mécanisme de plainte devant la Cour revêt un caractère subsidiaire par rapport aux systèmes nationaux de sauvegarde des droits de l</w:t>
      </w:r>
      <w:r w:rsidR="00A66252" w:rsidRPr="00A66252">
        <w:rPr>
          <w:lang w:val="fr-FR"/>
        </w:rPr>
        <w:t>’</w:t>
      </w:r>
      <w:r w:rsidR="002C3860" w:rsidRPr="00A66252">
        <w:rPr>
          <w:lang w:val="fr-FR"/>
        </w:rPr>
        <w:t>homme. Cette subsidiarité s</w:t>
      </w:r>
      <w:r w:rsidR="00A66252" w:rsidRPr="00A66252">
        <w:rPr>
          <w:lang w:val="fr-FR"/>
        </w:rPr>
        <w:t>’</w:t>
      </w:r>
      <w:r w:rsidR="002C3860" w:rsidRPr="00A66252">
        <w:rPr>
          <w:lang w:val="fr-FR"/>
        </w:rPr>
        <w:t>exprime dans les articles 13 et 35 § 1 de la Convention (</w:t>
      </w:r>
      <w:r w:rsidR="002C3860" w:rsidRPr="00A66252">
        <w:rPr>
          <w:i/>
          <w:lang w:val="fr-FR"/>
        </w:rPr>
        <w:t>M.S.S. c. Belgique et Grèce</w:t>
      </w:r>
      <w:r w:rsidR="00ED6D21" w:rsidRPr="00A66252">
        <w:rPr>
          <w:lang w:val="fr-FR"/>
        </w:rPr>
        <w:t>,</w:t>
      </w:r>
      <w:r w:rsidR="00ED6D21" w:rsidRPr="00A66252">
        <w:rPr>
          <w:i/>
          <w:lang w:val="fr-FR"/>
        </w:rPr>
        <w:t xml:space="preserve"> </w:t>
      </w:r>
      <w:r w:rsidR="00ED6D21" w:rsidRPr="00A66252">
        <w:rPr>
          <w:lang w:val="fr-FR"/>
        </w:rPr>
        <w:t>précité</w:t>
      </w:r>
      <w:r w:rsidR="002C3860" w:rsidRPr="00A66252">
        <w:rPr>
          <w:lang w:val="fr-FR"/>
        </w:rPr>
        <w:t xml:space="preserve">, §§ 286-287, et </w:t>
      </w:r>
      <w:r w:rsidR="0070474E" w:rsidRPr="00A66252">
        <w:rPr>
          <w:i/>
          <w:lang w:val="fr-FR"/>
        </w:rPr>
        <w:t>F.G. c. </w:t>
      </w:r>
      <w:r w:rsidR="0028719E" w:rsidRPr="00A66252">
        <w:rPr>
          <w:i/>
          <w:lang w:val="fr-FR"/>
        </w:rPr>
        <w:t>Suède</w:t>
      </w:r>
      <w:r w:rsidR="002C3860" w:rsidRPr="00A66252">
        <w:rPr>
          <w:snapToGrid w:val="0"/>
          <w:lang w:val="fr-FR"/>
        </w:rPr>
        <w:t>,</w:t>
      </w:r>
      <w:r w:rsidR="0028719E" w:rsidRPr="00A66252">
        <w:rPr>
          <w:snapToGrid w:val="0"/>
          <w:lang w:val="fr-FR"/>
        </w:rPr>
        <w:t xml:space="preserve"> précité,</w:t>
      </w:r>
      <w:r w:rsidR="002C3860" w:rsidRPr="00A66252">
        <w:rPr>
          <w:snapToGrid w:val="0"/>
          <w:lang w:val="fr-FR"/>
        </w:rPr>
        <w:t xml:space="preserve"> §</w:t>
      </w:r>
      <w:r w:rsidR="00105220" w:rsidRPr="00A66252">
        <w:rPr>
          <w:snapToGrid w:val="0"/>
          <w:lang w:val="fr-FR"/>
        </w:rPr>
        <w:t>§</w:t>
      </w:r>
      <w:r w:rsidR="002C3860" w:rsidRPr="00A66252">
        <w:rPr>
          <w:snapToGrid w:val="0"/>
          <w:lang w:val="fr-FR"/>
        </w:rPr>
        <w:t xml:space="preserve"> 117</w:t>
      </w:r>
      <w:r w:rsidR="00105220" w:rsidRPr="00A66252">
        <w:rPr>
          <w:snapToGrid w:val="0"/>
          <w:lang w:val="fr-FR"/>
        </w:rPr>
        <w:t>-118</w:t>
      </w:r>
      <w:r w:rsidR="002C3860" w:rsidRPr="00A66252">
        <w:rPr>
          <w:lang w:val="fr-FR"/>
        </w:rPr>
        <w:t>).</w:t>
      </w:r>
    </w:p>
    <w:p w:rsidR="003B363E" w:rsidRPr="00A66252" w:rsidRDefault="002B36B4" w:rsidP="00A66252">
      <w:pPr>
        <w:pStyle w:val="ECHRPara"/>
        <w:rPr>
          <w:i/>
          <w:szCs w:val="24"/>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185</w:t>
      </w:r>
      <w:r w:rsidRPr="00A66252">
        <w:rPr>
          <w:lang w:val="fr-FR" w:eastAsia="fr-FR"/>
        </w:rPr>
        <w:fldChar w:fldCharType="end"/>
      </w:r>
      <w:r w:rsidRPr="00A66252">
        <w:rPr>
          <w:lang w:val="fr-FR" w:eastAsia="fr-FR"/>
        </w:rPr>
        <w:t>.  </w:t>
      </w:r>
      <w:r w:rsidR="00EF7452" w:rsidRPr="00A66252">
        <w:rPr>
          <w:lang w:val="fr-FR" w:eastAsia="fr-FR"/>
        </w:rPr>
        <w:t>En conséquence, d</w:t>
      </w:r>
      <w:r w:rsidRPr="00A66252">
        <w:rPr>
          <w:lang w:val="fr-FR" w:eastAsia="fr-FR"/>
        </w:rPr>
        <w:t xml:space="preserve">ans </w:t>
      </w:r>
      <w:r w:rsidR="00EF7452" w:rsidRPr="00A66252">
        <w:rPr>
          <w:lang w:val="fr-FR" w:eastAsia="fr-FR"/>
        </w:rPr>
        <w:t>ce type d</w:t>
      </w:r>
      <w:r w:rsidR="00A66252" w:rsidRPr="00A66252">
        <w:rPr>
          <w:lang w:val="fr-FR" w:eastAsia="fr-FR"/>
        </w:rPr>
        <w:t>’</w:t>
      </w:r>
      <w:r w:rsidR="00EF7452" w:rsidRPr="00A66252">
        <w:rPr>
          <w:lang w:val="fr-FR" w:eastAsia="fr-FR"/>
        </w:rPr>
        <w:t>affaires</w:t>
      </w:r>
      <w:r w:rsidRPr="00A66252">
        <w:rPr>
          <w:lang w:val="fr-FR" w:eastAsia="fr-FR"/>
        </w:rPr>
        <w:t xml:space="preserve">, </w:t>
      </w:r>
      <w:r w:rsidR="0019465D" w:rsidRPr="00A66252">
        <w:rPr>
          <w:lang w:val="fr-FR" w:eastAsia="fr-FR"/>
        </w:rPr>
        <w:t>l</w:t>
      </w:r>
      <w:r w:rsidR="00A66252" w:rsidRPr="00A66252">
        <w:rPr>
          <w:lang w:val="fr-FR" w:eastAsia="fr-FR"/>
        </w:rPr>
        <w:t>’</w:t>
      </w:r>
      <w:r w:rsidR="0019465D" w:rsidRPr="00A66252">
        <w:rPr>
          <w:lang w:val="fr-FR" w:eastAsia="fr-FR"/>
        </w:rPr>
        <w:t>obligation de protéger l</w:t>
      </w:r>
      <w:r w:rsidR="00A66252" w:rsidRPr="00A66252">
        <w:rPr>
          <w:lang w:val="fr-FR" w:eastAsia="fr-FR"/>
        </w:rPr>
        <w:t>’</w:t>
      </w:r>
      <w:r w:rsidR="0019465D" w:rsidRPr="00A66252">
        <w:rPr>
          <w:lang w:val="fr-FR" w:eastAsia="fr-FR"/>
        </w:rPr>
        <w:t>intégrité des intéressés que l</w:t>
      </w:r>
      <w:r w:rsidR="00A66252" w:rsidRPr="00A66252">
        <w:rPr>
          <w:lang w:val="fr-FR" w:eastAsia="fr-FR"/>
        </w:rPr>
        <w:t>’</w:t>
      </w:r>
      <w:r w:rsidR="0019465D" w:rsidRPr="00A66252">
        <w:rPr>
          <w:lang w:val="fr-FR" w:eastAsia="fr-FR"/>
        </w:rPr>
        <w:t>article 3 fait peser sur les autorités s</w:t>
      </w:r>
      <w:r w:rsidR="00A66252" w:rsidRPr="00A66252">
        <w:rPr>
          <w:lang w:val="fr-FR" w:eastAsia="fr-FR"/>
        </w:rPr>
        <w:t>’</w:t>
      </w:r>
      <w:r w:rsidR="0019465D" w:rsidRPr="00A66252">
        <w:rPr>
          <w:lang w:val="fr-FR" w:eastAsia="fr-FR"/>
        </w:rPr>
        <w:t xml:space="preserve">exécute </w:t>
      </w:r>
      <w:r w:rsidR="00E91AE7" w:rsidRPr="00A66252">
        <w:rPr>
          <w:lang w:val="fr-FR" w:eastAsia="fr-FR"/>
        </w:rPr>
        <w:t xml:space="preserve">en premier lieu </w:t>
      </w:r>
      <w:r w:rsidR="0019465D" w:rsidRPr="00A66252">
        <w:rPr>
          <w:lang w:val="fr-FR" w:eastAsia="fr-FR"/>
        </w:rPr>
        <w:t>par la voie de procédures adéquates permettant un tel examen</w:t>
      </w:r>
      <w:r w:rsidRPr="00A66252">
        <w:rPr>
          <w:lang w:val="fr-FR" w:eastAsia="fr-FR"/>
        </w:rPr>
        <w:t xml:space="preserve"> (voir,</w:t>
      </w:r>
      <w:r w:rsidR="00A54AF0" w:rsidRPr="00A66252">
        <w:rPr>
          <w:lang w:val="fr-FR" w:eastAsia="fr-FR"/>
        </w:rPr>
        <w:t xml:space="preserve"> </w:t>
      </w:r>
      <w:r w:rsidR="00A54AF0" w:rsidRPr="00A66252">
        <w:rPr>
          <w:i/>
          <w:lang w:val="fr-FR" w:eastAsia="fr-FR"/>
        </w:rPr>
        <w:t>mutatis mutandis</w:t>
      </w:r>
      <w:r w:rsidR="00A54AF0" w:rsidRPr="00A66252">
        <w:rPr>
          <w:lang w:val="fr-FR" w:eastAsia="fr-FR"/>
        </w:rPr>
        <w:t>,</w:t>
      </w:r>
      <w:r w:rsidRPr="00A66252">
        <w:rPr>
          <w:lang w:val="fr-FR" w:eastAsia="fr-FR"/>
        </w:rPr>
        <w:t xml:space="preserve"> </w:t>
      </w:r>
      <w:r w:rsidR="002C3860" w:rsidRPr="00A66252">
        <w:rPr>
          <w:i/>
          <w:lang w:val="fr-FR"/>
        </w:rPr>
        <w:t>El-</w:t>
      </w:r>
      <w:proofErr w:type="spellStart"/>
      <w:r w:rsidR="002C3860" w:rsidRPr="00A66252">
        <w:rPr>
          <w:i/>
          <w:lang w:val="fr-FR"/>
        </w:rPr>
        <w:t>Masri</w:t>
      </w:r>
      <w:proofErr w:type="spellEnd"/>
      <w:r w:rsidR="002C3860" w:rsidRPr="00A66252">
        <w:rPr>
          <w:i/>
          <w:lang w:val="fr-FR"/>
        </w:rPr>
        <w:t xml:space="preserve"> c. l</w:t>
      </w:r>
      <w:r w:rsidR="00A66252" w:rsidRPr="00A66252">
        <w:rPr>
          <w:i/>
          <w:lang w:val="fr-FR"/>
        </w:rPr>
        <w:t>’</w:t>
      </w:r>
      <w:r w:rsidR="002C3860" w:rsidRPr="00A66252">
        <w:rPr>
          <w:i/>
          <w:lang w:val="fr-FR"/>
        </w:rPr>
        <w:t xml:space="preserve">ex-République yougoslave de Macédoine </w:t>
      </w:r>
      <w:r w:rsidR="002C3860" w:rsidRPr="00A66252">
        <w:rPr>
          <w:lang w:val="fr-FR"/>
        </w:rPr>
        <w:t>[GC], n</w:t>
      </w:r>
      <w:r w:rsidR="002C3860" w:rsidRPr="00A66252">
        <w:rPr>
          <w:vertAlign w:val="superscript"/>
          <w:lang w:val="fr-FR"/>
        </w:rPr>
        <w:t>o</w:t>
      </w:r>
      <w:r w:rsidR="002C3860" w:rsidRPr="00A66252">
        <w:rPr>
          <w:lang w:val="fr-FR"/>
        </w:rPr>
        <w:t xml:space="preserve"> 39630/09, § 182,</w:t>
      </w:r>
      <w:r w:rsidR="00105220" w:rsidRPr="00A66252">
        <w:rPr>
          <w:snapToGrid w:val="0"/>
          <w:lang w:val="fr-FR"/>
        </w:rPr>
        <w:t xml:space="preserve"> CEDH</w:t>
      </w:r>
      <w:r w:rsidR="0070474E" w:rsidRPr="00A66252">
        <w:rPr>
          <w:snapToGrid w:val="0"/>
          <w:lang w:val="fr-FR"/>
        </w:rPr>
        <w:t xml:space="preserve"> </w:t>
      </w:r>
      <w:r w:rsidR="002C3860" w:rsidRPr="00A66252">
        <w:rPr>
          <w:snapToGrid w:val="0"/>
          <w:lang w:val="fr-FR"/>
        </w:rPr>
        <w:t>2012</w:t>
      </w:r>
      <w:r w:rsidR="002C3860" w:rsidRPr="00A66252">
        <w:rPr>
          <w:szCs w:val="24"/>
          <w:lang w:val="fr-FR"/>
        </w:rPr>
        <w:t>,</w:t>
      </w:r>
      <w:r w:rsidR="002C3860" w:rsidRPr="00A66252">
        <w:rPr>
          <w:i/>
          <w:szCs w:val="24"/>
          <w:lang w:val="fr-FR"/>
        </w:rPr>
        <w:t xml:space="preserve"> </w:t>
      </w:r>
      <w:proofErr w:type="spellStart"/>
      <w:r w:rsidR="002D7D31" w:rsidRPr="00A66252">
        <w:rPr>
          <w:i/>
          <w:lang w:val="fr-FR"/>
        </w:rPr>
        <w:t>Tarakhel</w:t>
      </w:r>
      <w:proofErr w:type="spellEnd"/>
      <w:r w:rsidR="00D66FC3" w:rsidRPr="00A66252">
        <w:rPr>
          <w:lang w:val="fr-FR"/>
        </w:rPr>
        <w:t xml:space="preserve">, </w:t>
      </w:r>
      <w:r w:rsidR="002D448F" w:rsidRPr="00A66252">
        <w:rPr>
          <w:lang w:val="fr-FR"/>
        </w:rPr>
        <w:t xml:space="preserve">précité, </w:t>
      </w:r>
      <w:r w:rsidR="00EE05A3" w:rsidRPr="00A66252">
        <w:rPr>
          <w:lang w:val="fr-FR"/>
        </w:rPr>
        <w:t>§ </w:t>
      </w:r>
      <w:r w:rsidR="002D7D31" w:rsidRPr="00A66252">
        <w:rPr>
          <w:lang w:val="fr-FR"/>
        </w:rPr>
        <w:t>104,</w:t>
      </w:r>
      <w:r w:rsidR="00D66FC3" w:rsidRPr="00A66252">
        <w:rPr>
          <w:lang w:val="fr-FR"/>
        </w:rPr>
        <w:t xml:space="preserve"> et </w:t>
      </w:r>
      <w:r w:rsidR="00D66FC3" w:rsidRPr="00A66252">
        <w:rPr>
          <w:i/>
          <w:lang w:val="fr-FR"/>
        </w:rPr>
        <w:t>F.G. c. Suède</w:t>
      </w:r>
      <w:r w:rsidR="00D66FC3" w:rsidRPr="00A66252">
        <w:rPr>
          <w:lang w:val="fr-FR"/>
        </w:rPr>
        <w:t>, précité, § 117</w:t>
      </w:r>
      <w:r w:rsidR="002D7D31" w:rsidRPr="00A66252">
        <w:rPr>
          <w:lang w:val="fr-FR"/>
        </w:rPr>
        <w:t>)</w:t>
      </w:r>
      <w:r w:rsidR="002D7D31" w:rsidRPr="00A66252">
        <w:rPr>
          <w:rFonts w:ascii="Times New Roman" w:eastAsiaTheme="minorHAnsi" w:hAnsi="Times New Roman" w:cs="Times New Roman"/>
          <w:szCs w:val="24"/>
          <w:lang w:val="fr-FR" w:eastAsia="fr-FR"/>
        </w:rPr>
        <w:t>.</w:t>
      </w:r>
    </w:p>
    <w:p w:rsidR="00E32AEA" w:rsidRPr="00A66252" w:rsidRDefault="003B363E" w:rsidP="00A66252">
      <w:pPr>
        <w:pStyle w:val="ECHRPara"/>
        <w:rPr>
          <w:i/>
          <w:lang w:val="fr-FR"/>
        </w:rPr>
      </w:pPr>
      <w:r w:rsidRPr="00A66252">
        <w:rPr>
          <w:snapToGrid w:val="0"/>
          <w:lang w:val="fr-FR"/>
        </w:rPr>
        <w:fldChar w:fldCharType="begin"/>
      </w:r>
      <w:r w:rsidRPr="00A66252">
        <w:rPr>
          <w:snapToGrid w:val="0"/>
          <w:lang w:val="fr-FR"/>
        </w:rPr>
        <w:instrText xml:space="preserve"> SEQ level0 \*arabic </w:instrText>
      </w:r>
      <w:r w:rsidRPr="00A66252">
        <w:rPr>
          <w:snapToGrid w:val="0"/>
          <w:lang w:val="fr-FR"/>
        </w:rPr>
        <w:fldChar w:fldCharType="separate"/>
      </w:r>
      <w:r w:rsidR="00A66252" w:rsidRPr="00A66252">
        <w:rPr>
          <w:noProof/>
          <w:snapToGrid w:val="0"/>
          <w:lang w:val="fr-FR"/>
        </w:rPr>
        <w:t>186</w:t>
      </w:r>
      <w:r w:rsidRPr="00A66252">
        <w:rPr>
          <w:snapToGrid w:val="0"/>
          <w:lang w:val="fr-FR"/>
        </w:rPr>
        <w:fldChar w:fldCharType="end"/>
      </w:r>
      <w:r w:rsidRPr="00A66252">
        <w:rPr>
          <w:snapToGrid w:val="0"/>
          <w:lang w:val="fr-FR"/>
        </w:rPr>
        <w:t>.  </w:t>
      </w:r>
      <w:r w:rsidR="0031423C" w:rsidRPr="00A66252">
        <w:rPr>
          <w:snapToGrid w:val="0"/>
          <w:lang w:val="fr-FR"/>
        </w:rPr>
        <w:t xml:space="preserve">Dans le cadre de celles-ci, </w:t>
      </w:r>
      <w:r w:rsidR="001612A3" w:rsidRPr="00A66252">
        <w:rPr>
          <w:snapToGrid w:val="0"/>
          <w:lang w:val="fr-FR"/>
        </w:rPr>
        <w:t xml:space="preserve">il appartient aux </w:t>
      </w:r>
      <w:r w:rsidR="00A67BF5" w:rsidRPr="00A66252">
        <w:rPr>
          <w:lang w:val="fr-FR" w:eastAsia="fr-FR"/>
        </w:rPr>
        <w:t>requérants</w:t>
      </w:r>
      <w:r w:rsidR="0031423C" w:rsidRPr="00A66252">
        <w:rPr>
          <w:lang w:val="fr-FR" w:eastAsia="fr-FR"/>
        </w:rPr>
        <w:t xml:space="preserve"> </w:t>
      </w:r>
      <w:r w:rsidRPr="00A66252">
        <w:rPr>
          <w:lang w:val="fr-FR"/>
        </w:rPr>
        <w:t>de produire des éléments susceptibles de démontrer qu</w:t>
      </w:r>
      <w:r w:rsidR="00A66252" w:rsidRPr="00A66252">
        <w:rPr>
          <w:lang w:val="fr-FR"/>
        </w:rPr>
        <w:t>’</w:t>
      </w:r>
      <w:r w:rsidRPr="00A66252">
        <w:rPr>
          <w:lang w:val="fr-FR"/>
        </w:rPr>
        <w:t xml:space="preserve">il y a des raisons sérieuses de penser que, si la mesure litigieuse était mise à exécution, ils seraient exposés </w:t>
      </w:r>
      <w:r w:rsidRPr="00A66252">
        <w:rPr>
          <w:lang w:val="fr-FR"/>
        </w:rPr>
        <w:lastRenderedPageBreak/>
        <w:t>à un risque réel de se voir infliger des traitements contraires à l</w:t>
      </w:r>
      <w:r w:rsidR="00A66252" w:rsidRPr="00A66252">
        <w:rPr>
          <w:lang w:val="fr-FR"/>
        </w:rPr>
        <w:t>’</w:t>
      </w:r>
      <w:r w:rsidRPr="00A66252">
        <w:rPr>
          <w:lang w:val="fr-FR"/>
        </w:rPr>
        <w:t>article 3</w:t>
      </w:r>
      <w:r w:rsidR="00E32C85" w:rsidRPr="00A66252">
        <w:rPr>
          <w:lang w:val="fr-FR"/>
        </w:rPr>
        <w:t xml:space="preserve"> (</w:t>
      </w:r>
      <w:r w:rsidR="00A67BF5" w:rsidRPr="00A66252">
        <w:rPr>
          <w:i/>
          <w:lang w:val="fr-FR"/>
        </w:rPr>
        <w:t>Saadi</w:t>
      </w:r>
      <w:r w:rsidR="00A67BF5" w:rsidRPr="00A66252">
        <w:rPr>
          <w:lang w:val="fr-FR"/>
        </w:rPr>
        <w:t xml:space="preserve">, précité, § 129, et </w:t>
      </w:r>
      <w:r w:rsidR="00A67BF5" w:rsidRPr="00A66252">
        <w:rPr>
          <w:i/>
          <w:lang w:val="fr-FR"/>
        </w:rPr>
        <w:t>F.G. c. Suède</w:t>
      </w:r>
      <w:r w:rsidR="00A67BF5" w:rsidRPr="00A66252">
        <w:rPr>
          <w:lang w:val="fr-FR"/>
        </w:rPr>
        <w:t xml:space="preserve">, précité, § </w:t>
      </w:r>
      <w:r w:rsidR="00C130CF" w:rsidRPr="00A66252">
        <w:rPr>
          <w:lang w:val="fr-FR"/>
        </w:rPr>
        <w:t xml:space="preserve">120). </w:t>
      </w:r>
      <w:r w:rsidR="001612A3" w:rsidRPr="00A66252">
        <w:rPr>
          <w:lang w:val="fr-FR"/>
        </w:rPr>
        <w:t>Dans ce contexte</w:t>
      </w:r>
      <w:r w:rsidR="00B8403A" w:rsidRPr="00A66252">
        <w:rPr>
          <w:lang w:val="fr-FR"/>
        </w:rPr>
        <w:t xml:space="preserve">, il y a lieu de rappeler </w:t>
      </w:r>
      <w:r w:rsidR="00E32C85" w:rsidRPr="00A66252">
        <w:rPr>
          <w:lang w:val="fr-FR"/>
        </w:rPr>
        <w:t>qu</w:t>
      </w:r>
      <w:r w:rsidR="00A66252" w:rsidRPr="00A66252">
        <w:rPr>
          <w:lang w:val="fr-FR"/>
        </w:rPr>
        <w:t>’</w:t>
      </w:r>
      <w:r w:rsidR="00E32C85" w:rsidRPr="00A66252">
        <w:rPr>
          <w:lang w:val="fr-FR"/>
        </w:rPr>
        <w:t>une part de spéculation est inhérente à la fonction préventive de l</w:t>
      </w:r>
      <w:r w:rsidR="00A66252" w:rsidRPr="00A66252">
        <w:rPr>
          <w:lang w:val="fr-FR"/>
        </w:rPr>
        <w:t>’</w:t>
      </w:r>
      <w:r w:rsidR="00E32C85" w:rsidRPr="00A66252">
        <w:rPr>
          <w:lang w:val="fr-FR"/>
        </w:rPr>
        <w:t>article 3 et qu</w:t>
      </w:r>
      <w:r w:rsidR="00A66252" w:rsidRPr="00A66252">
        <w:rPr>
          <w:lang w:val="fr-FR"/>
        </w:rPr>
        <w:t>’</w:t>
      </w:r>
      <w:r w:rsidR="00E32C85" w:rsidRPr="00A66252">
        <w:rPr>
          <w:lang w:val="fr-FR"/>
        </w:rPr>
        <w:t>il ne s</w:t>
      </w:r>
      <w:r w:rsidR="00A66252" w:rsidRPr="00A66252">
        <w:rPr>
          <w:lang w:val="fr-FR"/>
        </w:rPr>
        <w:t>’</w:t>
      </w:r>
      <w:r w:rsidR="00E32C85" w:rsidRPr="00A66252">
        <w:rPr>
          <w:lang w:val="fr-FR"/>
        </w:rPr>
        <w:t>agit pas d</w:t>
      </w:r>
      <w:r w:rsidR="00A66252" w:rsidRPr="00A66252">
        <w:rPr>
          <w:lang w:val="fr-FR"/>
        </w:rPr>
        <w:t>’</w:t>
      </w:r>
      <w:r w:rsidR="00E32C85" w:rsidRPr="00A66252">
        <w:rPr>
          <w:lang w:val="fr-FR"/>
        </w:rPr>
        <w:t>exiger des intéressés qu</w:t>
      </w:r>
      <w:r w:rsidR="00A66252" w:rsidRPr="00A66252">
        <w:rPr>
          <w:lang w:val="fr-FR"/>
        </w:rPr>
        <w:t>’</w:t>
      </w:r>
      <w:r w:rsidR="00E32C85" w:rsidRPr="00A66252">
        <w:rPr>
          <w:lang w:val="fr-FR"/>
        </w:rPr>
        <w:t>ils apportent une preuve certaine de leurs affirmations qu</w:t>
      </w:r>
      <w:r w:rsidR="00A66252" w:rsidRPr="00A66252">
        <w:rPr>
          <w:lang w:val="fr-FR"/>
        </w:rPr>
        <w:t>’</w:t>
      </w:r>
      <w:r w:rsidR="00E32C85" w:rsidRPr="00A66252">
        <w:rPr>
          <w:lang w:val="fr-FR"/>
        </w:rPr>
        <w:t xml:space="preserve">ils seront exposés à des traitements prohibés (voir, notamment, </w:t>
      </w:r>
      <w:proofErr w:type="spellStart"/>
      <w:r w:rsidR="000F715A" w:rsidRPr="00A66252">
        <w:rPr>
          <w:i/>
          <w:lang w:val="fr-FR"/>
        </w:rPr>
        <w:t>Trabelsi</w:t>
      </w:r>
      <w:proofErr w:type="spellEnd"/>
      <w:r w:rsidR="000F715A" w:rsidRPr="00A66252">
        <w:rPr>
          <w:i/>
          <w:lang w:val="fr-FR"/>
        </w:rPr>
        <w:t xml:space="preserve"> c. Belgique</w:t>
      </w:r>
      <w:r w:rsidR="000F715A" w:rsidRPr="00A66252">
        <w:rPr>
          <w:snapToGrid w:val="0"/>
          <w:lang w:val="fr-FR"/>
        </w:rPr>
        <w:t xml:space="preserve">, </w:t>
      </w:r>
      <w:r w:rsidR="000F715A" w:rsidRPr="00A66252">
        <w:rPr>
          <w:lang w:val="fr-FR"/>
        </w:rPr>
        <w:t>n</w:t>
      </w:r>
      <w:r w:rsidR="000F715A" w:rsidRPr="00A66252">
        <w:rPr>
          <w:vertAlign w:val="superscript"/>
          <w:lang w:val="fr-FR"/>
        </w:rPr>
        <w:t>o</w:t>
      </w:r>
      <w:r w:rsidR="000F715A" w:rsidRPr="00A66252">
        <w:rPr>
          <w:lang w:val="fr-FR"/>
        </w:rPr>
        <w:t xml:space="preserve"> 140/10, § </w:t>
      </w:r>
      <w:r w:rsidR="004D08D2" w:rsidRPr="00A66252">
        <w:rPr>
          <w:lang w:val="fr-FR"/>
        </w:rPr>
        <w:t>1</w:t>
      </w:r>
      <w:r w:rsidR="000F715A" w:rsidRPr="00A66252">
        <w:rPr>
          <w:lang w:val="fr-FR"/>
        </w:rPr>
        <w:t>30, CEDH 2014 (extraits)</w:t>
      </w:r>
      <w:r w:rsidR="00E32C85" w:rsidRPr="00A66252">
        <w:rPr>
          <w:lang w:val="fr-FR"/>
        </w:rPr>
        <w:t>).</w:t>
      </w:r>
    </w:p>
    <w:p w:rsidR="00C91AEB" w:rsidRPr="00A66252" w:rsidRDefault="00E32AEA" w:rsidP="00A66252">
      <w:pPr>
        <w:pStyle w:val="ECHRPara"/>
        <w:rPr>
          <w:i/>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187</w:t>
      </w:r>
      <w:r w:rsidRPr="00A66252">
        <w:rPr>
          <w:lang w:val="fr-FR"/>
        </w:rPr>
        <w:fldChar w:fldCharType="end"/>
      </w:r>
      <w:r w:rsidRPr="00A66252">
        <w:rPr>
          <w:lang w:val="fr-FR"/>
        </w:rPr>
        <w:t>.  </w:t>
      </w:r>
      <w:r w:rsidR="006821B2" w:rsidRPr="00A66252">
        <w:rPr>
          <w:lang w:val="fr-FR"/>
        </w:rPr>
        <w:t>Lorsque de tels éléme</w:t>
      </w:r>
      <w:r w:rsidR="0080452E" w:rsidRPr="00A66252">
        <w:rPr>
          <w:lang w:val="fr-FR"/>
        </w:rPr>
        <w:t xml:space="preserve">nts sont produits, il incombe aux autorités de </w:t>
      </w:r>
      <w:r w:rsidR="0092477B" w:rsidRPr="00A66252">
        <w:rPr>
          <w:lang w:val="fr-FR"/>
        </w:rPr>
        <w:t>l</w:t>
      </w:r>
      <w:r w:rsidR="00A66252" w:rsidRPr="00A66252">
        <w:rPr>
          <w:lang w:val="fr-FR"/>
        </w:rPr>
        <w:t>’</w:t>
      </w:r>
      <w:r w:rsidR="0092477B" w:rsidRPr="00A66252">
        <w:rPr>
          <w:lang w:val="fr-FR"/>
        </w:rPr>
        <w:t>État de renvoi</w:t>
      </w:r>
      <w:r w:rsidR="006821B2" w:rsidRPr="00A66252">
        <w:rPr>
          <w:lang w:val="fr-FR"/>
        </w:rPr>
        <w:t>, dans le cadre des procédures</w:t>
      </w:r>
      <w:r w:rsidR="0092477B" w:rsidRPr="00A66252">
        <w:rPr>
          <w:lang w:val="fr-FR"/>
        </w:rPr>
        <w:t xml:space="preserve"> internes</w:t>
      </w:r>
      <w:r w:rsidR="006821B2" w:rsidRPr="00A66252">
        <w:rPr>
          <w:lang w:val="fr-FR"/>
        </w:rPr>
        <w:t xml:space="preserve">, </w:t>
      </w:r>
      <w:r w:rsidR="001612A3" w:rsidRPr="00A66252">
        <w:rPr>
          <w:lang w:val="fr-FR"/>
        </w:rPr>
        <w:t xml:space="preserve">de </w:t>
      </w:r>
      <w:r w:rsidR="006821B2" w:rsidRPr="00A66252">
        <w:rPr>
          <w:lang w:val="fr-FR"/>
        </w:rPr>
        <w:t xml:space="preserve">dissiper les doutes éventuels à leur sujet </w:t>
      </w:r>
      <w:r w:rsidR="003B363E" w:rsidRPr="00A66252">
        <w:rPr>
          <w:lang w:val="fr-FR"/>
        </w:rPr>
        <w:t>(</w:t>
      </w:r>
      <w:r w:rsidR="00FB7423" w:rsidRPr="00A66252">
        <w:rPr>
          <w:lang w:val="fr-FR"/>
        </w:rPr>
        <w:t xml:space="preserve">voir </w:t>
      </w:r>
      <w:r w:rsidR="003B363E" w:rsidRPr="00A66252">
        <w:rPr>
          <w:i/>
          <w:lang w:val="fr-FR"/>
        </w:rPr>
        <w:t>Saadi</w:t>
      </w:r>
      <w:r w:rsidR="003B363E" w:rsidRPr="00A66252">
        <w:rPr>
          <w:lang w:val="fr-FR"/>
        </w:rPr>
        <w:t>, précité, § 129,</w:t>
      </w:r>
      <w:r w:rsidR="00E32C85" w:rsidRPr="00A66252">
        <w:rPr>
          <w:lang w:val="fr-FR"/>
        </w:rPr>
        <w:t xml:space="preserve"> et</w:t>
      </w:r>
      <w:r w:rsidR="003B363E" w:rsidRPr="00A66252">
        <w:rPr>
          <w:lang w:val="fr-FR"/>
        </w:rPr>
        <w:t xml:space="preserve"> </w:t>
      </w:r>
      <w:r w:rsidR="00C130CF" w:rsidRPr="00A66252">
        <w:rPr>
          <w:i/>
          <w:lang w:val="fr-FR"/>
        </w:rPr>
        <w:t>F.G. c. Suède</w:t>
      </w:r>
      <w:r w:rsidR="00C130CF" w:rsidRPr="00A66252">
        <w:rPr>
          <w:lang w:val="fr-FR"/>
        </w:rPr>
        <w:t>,</w:t>
      </w:r>
      <w:r w:rsidR="00C130CF" w:rsidRPr="00A66252">
        <w:rPr>
          <w:i/>
          <w:lang w:val="fr-FR"/>
        </w:rPr>
        <w:t xml:space="preserve"> </w:t>
      </w:r>
      <w:r w:rsidR="00B32D6C" w:rsidRPr="00A66252">
        <w:rPr>
          <w:lang w:val="fr-FR"/>
        </w:rPr>
        <w:t>précité, § </w:t>
      </w:r>
      <w:r w:rsidR="00C130CF" w:rsidRPr="00A66252">
        <w:rPr>
          <w:lang w:val="fr-FR"/>
        </w:rPr>
        <w:t>120</w:t>
      </w:r>
      <w:r w:rsidR="003B363E" w:rsidRPr="00A66252">
        <w:rPr>
          <w:lang w:val="fr-FR"/>
        </w:rPr>
        <w:t xml:space="preserve">). </w:t>
      </w:r>
      <w:r w:rsidR="007632CC" w:rsidRPr="00A66252">
        <w:rPr>
          <w:lang w:val="fr-FR"/>
        </w:rPr>
        <w:t>L</w:t>
      </w:r>
      <w:r w:rsidR="00A66252" w:rsidRPr="00A66252">
        <w:rPr>
          <w:lang w:val="fr-FR"/>
        </w:rPr>
        <w:t>’</w:t>
      </w:r>
      <w:r w:rsidR="007632CC" w:rsidRPr="00A66252">
        <w:rPr>
          <w:lang w:val="fr-FR"/>
        </w:rPr>
        <w:t xml:space="preserve">évaluation du risque </w:t>
      </w:r>
      <w:r w:rsidR="00B8403A" w:rsidRPr="00A66252">
        <w:rPr>
          <w:lang w:val="fr-FR"/>
        </w:rPr>
        <w:t xml:space="preserve">allégué </w:t>
      </w:r>
      <w:r w:rsidR="007632CC" w:rsidRPr="00A66252">
        <w:rPr>
          <w:lang w:val="fr-FR"/>
        </w:rPr>
        <w:t>doit faire l</w:t>
      </w:r>
      <w:r w:rsidR="00A66252" w:rsidRPr="00A66252">
        <w:rPr>
          <w:lang w:val="fr-FR"/>
        </w:rPr>
        <w:t>’</w:t>
      </w:r>
      <w:r w:rsidR="007632CC" w:rsidRPr="00A66252">
        <w:rPr>
          <w:lang w:val="fr-FR"/>
        </w:rPr>
        <w:t>objet d</w:t>
      </w:r>
      <w:r w:rsidR="00A66252" w:rsidRPr="00A66252">
        <w:rPr>
          <w:lang w:val="fr-FR"/>
        </w:rPr>
        <w:t>’</w:t>
      </w:r>
      <w:r w:rsidR="007632CC" w:rsidRPr="00A66252">
        <w:rPr>
          <w:lang w:val="fr-FR"/>
        </w:rPr>
        <w:t>un contrôle rigoureux</w:t>
      </w:r>
      <w:r w:rsidR="00E47236" w:rsidRPr="00A66252">
        <w:rPr>
          <w:lang w:val="fr-FR"/>
        </w:rPr>
        <w:t xml:space="preserve"> (</w:t>
      </w:r>
      <w:r w:rsidR="007632CC" w:rsidRPr="00A66252">
        <w:rPr>
          <w:i/>
          <w:lang w:val="fr-FR"/>
        </w:rPr>
        <w:t xml:space="preserve">Saadi, </w:t>
      </w:r>
      <w:r w:rsidR="007632CC" w:rsidRPr="00A66252">
        <w:rPr>
          <w:lang w:val="fr-FR"/>
        </w:rPr>
        <w:t>précité, § 128,</w:t>
      </w:r>
      <w:r w:rsidR="00ED6D21" w:rsidRPr="00A66252">
        <w:rPr>
          <w:lang w:val="fr-FR"/>
        </w:rPr>
        <w:t xml:space="preserve"> </w:t>
      </w:r>
      <w:r w:rsidR="00ED6D21" w:rsidRPr="00A66252">
        <w:rPr>
          <w:i/>
          <w:lang w:val="fr-FR"/>
        </w:rPr>
        <w:t xml:space="preserve">Sufi et </w:t>
      </w:r>
      <w:proofErr w:type="spellStart"/>
      <w:r w:rsidR="00ED6D21" w:rsidRPr="00A66252">
        <w:rPr>
          <w:i/>
          <w:lang w:val="fr-FR"/>
        </w:rPr>
        <w:t>Elmi</w:t>
      </w:r>
      <w:proofErr w:type="spellEnd"/>
      <w:r w:rsidR="00ED6D21" w:rsidRPr="00A66252">
        <w:rPr>
          <w:i/>
          <w:lang w:val="fr-FR"/>
        </w:rPr>
        <w:t xml:space="preserve"> c. Royaume-Uni</w:t>
      </w:r>
      <w:r w:rsidR="00ED6D21" w:rsidRPr="00A66252">
        <w:rPr>
          <w:lang w:val="fr-FR"/>
        </w:rPr>
        <w:t>, n</w:t>
      </w:r>
      <w:r w:rsidR="00ED6D21" w:rsidRPr="00A66252">
        <w:rPr>
          <w:vertAlign w:val="superscript"/>
          <w:lang w:val="fr-FR"/>
        </w:rPr>
        <w:t>os</w:t>
      </w:r>
      <w:r w:rsidR="00ED6D21" w:rsidRPr="00A66252">
        <w:rPr>
          <w:lang w:val="fr-FR"/>
        </w:rPr>
        <w:t xml:space="preserve"> 8319/07 et 11449/07</w:t>
      </w:r>
      <w:r w:rsidR="00ED6D21" w:rsidRPr="00A66252">
        <w:rPr>
          <w:snapToGrid w:val="0"/>
          <w:szCs w:val="24"/>
          <w:lang w:val="fr-FR"/>
        </w:rPr>
        <w:t xml:space="preserve">, § </w:t>
      </w:r>
      <w:r w:rsidR="00ED6D21" w:rsidRPr="00A66252">
        <w:rPr>
          <w:lang w:val="fr-FR"/>
        </w:rPr>
        <w:t>214</w:t>
      </w:r>
      <w:r w:rsidR="00ED6D21" w:rsidRPr="00A66252">
        <w:rPr>
          <w:snapToGrid w:val="0"/>
          <w:szCs w:val="24"/>
          <w:lang w:val="fr-FR"/>
        </w:rPr>
        <w:t xml:space="preserve">, 28 </w:t>
      </w:r>
      <w:r w:rsidR="00ED6D21" w:rsidRPr="00A66252">
        <w:rPr>
          <w:szCs w:val="24"/>
          <w:lang w:val="fr-FR"/>
        </w:rPr>
        <w:t>juin</w:t>
      </w:r>
      <w:r w:rsidR="00ED6D21" w:rsidRPr="00A66252">
        <w:rPr>
          <w:snapToGrid w:val="0"/>
          <w:szCs w:val="24"/>
          <w:lang w:val="fr-FR"/>
        </w:rPr>
        <w:t xml:space="preserve"> 2011</w:t>
      </w:r>
      <w:r w:rsidR="007632CC" w:rsidRPr="00A66252">
        <w:rPr>
          <w:lang w:val="fr-FR"/>
        </w:rPr>
        <w:t xml:space="preserve">, </w:t>
      </w:r>
      <w:proofErr w:type="spellStart"/>
      <w:r w:rsidR="007632CC" w:rsidRPr="00A66252">
        <w:rPr>
          <w:i/>
          <w:lang w:val="fr-FR"/>
        </w:rPr>
        <w:t>Hirsi</w:t>
      </w:r>
      <w:proofErr w:type="spellEnd"/>
      <w:r w:rsidR="007632CC" w:rsidRPr="00A66252">
        <w:rPr>
          <w:i/>
          <w:lang w:val="fr-FR"/>
        </w:rPr>
        <w:t xml:space="preserve"> </w:t>
      </w:r>
      <w:proofErr w:type="spellStart"/>
      <w:r w:rsidR="007632CC" w:rsidRPr="00A66252">
        <w:rPr>
          <w:i/>
          <w:lang w:val="fr-FR"/>
        </w:rPr>
        <w:t>Jama</w:t>
      </w:r>
      <w:r w:rsidR="00105220" w:rsidRPr="00A66252">
        <w:rPr>
          <w:i/>
          <w:lang w:val="fr-FR"/>
        </w:rPr>
        <w:t>a</w:t>
      </w:r>
      <w:proofErr w:type="spellEnd"/>
      <w:r w:rsidR="00105220" w:rsidRPr="00A66252">
        <w:rPr>
          <w:i/>
          <w:lang w:val="fr-FR"/>
        </w:rPr>
        <w:t xml:space="preserve"> et autres</w:t>
      </w:r>
      <w:r w:rsidR="007632CC" w:rsidRPr="00A66252">
        <w:rPr>
          <w:lang w:val="fr-FR"/>
        </w:rPr>
        <w:t>, précité, § 116</w:t>
      </w:r>
      <w:r w:rsidR="00D83DC6" w:rsidRPr="00A66252">
        <w:rPr>
          <w:lang w:val="fr-FR"/>
        </w:rPr>
        <w:t xml:space="preserve">, et </w:t>
      </w:r>
      <w:proofErr w:type="spellStart"/>
      <w:r w:rsidR="00D83DC6" w:rsidRPr="00A66252">
        <w:rPr>
          <w:i/>
          <w:lang w:val="fr-FR"/>
        </w:rPr>
        <w:t>Tarakhel</w:t>
      </w:r>
      <w:proofErr w:type="spellEnd"/>
      <w:r w:rsidR="00D83DC6" w:rsidRPr="00A66252">
        <w:rPr>
          <w:lang w:val="fr-FR"/>
        </w:rPr>
        <w:t>, précité, § 104</w:t>
      </w:r>
      <w:r w:rsidR="007632CC" w:rsidRPr="00A66252">
        <w:rPr>
          <w:lang w:val="fr-FR"/>
        </w:rPr>
        <w:t>)</w:t>
      </w:r>
      <w:r w:rsidR="001612A3" w:rsidRPr="00A66252">
        <w:rPr>
          <w:lang w:val="fr-FR"/>
        </w:rPr>
        <w:t xml:space="preserve"> à l</w:t>
      </w:r>
      <w:r w:rsidR="00A66252" w:rsidRPr="00A66252">
        <w:rPr>
          <w:lang w:val="fr-FR"/>
        </w:rPr>
        <w:t>’</w:t>
      </w:r>
      <w:r w:rsidR="001612A3" w:rsidRPr="00A66252">
        <w:rPr>
          <w:lang w:val="fr-FR"/>
        </w:rPr>
        <w:t>occasion duquel</w:t>
      </w:r>
      <w:r w:rsidR="00B8403A" w:rsidRPr="00A66252">
        <w:rPr>
          <w:lang w:val="fr-FR"/>
        </w:rPr>
        <w:t xml:space="preserve"> </w:t>
      </w:r>
      <w:r w:rsidR="001612A3" w:rsidRPr="00A66252">
        <w:rPr>
          <w:rFonts w:eastAsiaTheme="minorHAnsi"/>
          <w:szCs w:val="24"/>
          <w:lang w:val="fr-FR" w:eastAsia="fr-FR"/>
        </w:rPr>
        <w:t>l</w:t>
      </w:r>
      <w:r w:rsidR="00BC377B" w:rsidRPr="00A66252">
        <w:rPr>
          <w:rFonts w:eastAsiaTheme="minorHAnsi"/>
          <w:szCs w:val="24"/>
          <w:lang w:val="fr-FR" w:eastAsia="fr-FR"/>
        </w:rPr>
        <w:t>es autorités de l</w:t>
      </w:r>
      <w:r w:rsidR="00A66252" w:rsidRPr="00A66252">
        <w:rPr>
          <w:rFonts w:eastAsiaTheme="minorHAnsi"/>
          <w:szCs w:val="24"/>
          <w:lang w:val="fr-FR" w:eastAsia="fr-FR"/>
        </w:rPr>
        <w:t>’</w:t>
      </w:r>
      <w:r w:rsidR="00BC377B" w:rsidRPr="00A66252">
        <w:rPr>
          <w:rFonts w:eastAsiaTheme="minorHAnsi"/>
          <w:szCs w:val="24"/>
          <w:lang w:val="fr-FR" w:eastAsia="fr-FR"/>
        </w:rPr>
        <w:t xml:space="preserve">État de renvoi </w:t>
      </w:r>
      <w:r w:rsidR="007F0A91" w:rsidRPr="00A66252">
        <w:rPr>
          <w:rFonts w:eastAsiaTheme="minorHAnsi"/>
          <w:szCs w:val="24"/>
          <w:lang w:val="fr-FR" w:eastAsia="fr-FR"/>
        </w:rPr>
        <w:t>doivent</w:t>
      </w:r>
      <w:r w:rsidR="00BC377B" w:rsidRPr="00A66252">
        <w:rPr>
          <w:rFonts w:eastAsiaTheme="minorHAnsi"/>
          <w:szCs w:val="24"/>
          <w:lang w:val="fr-FR" w:eastAsia="fr-FR"/>
        </w:rPr>
        <w:t xml:space="preserve"> </w:t>
      </w:r>
      <w:r w:rsidR="0063745F" w:rsidRPr="00A66252">
        <w:rPr>
          <w:rFonts w:eastAsiaTheme="minorHAnsi"/>
          <w:szCs w:val="24"/>
          <w:lang w:val="fr-FR" w:eastAsia="fr-FR"/>
        </w:rPr>
        <w:t>envisag</w:t>
      </w:r>
      <w:r w:rsidR="00BC377B" w:rsidRPr="00A66252">
        <w:rPr>
          <w:rFonts w:eastAsiaTheme="minorHAnsi"/>
          <w:szCs w:val="24"/>
          <w:lang w:val="fr-FR" w:eastAsia="fr-FR"/>
        </w:rPr>
        <w:t>er</w:t>
      </w:r>
      <w:r w:rsidR="0063745F" w:rsidRPr="00A66252">
        <w:rPr>
          <w:rFonts w:eastAsiaTheme="minorHAnsi"/>
          <w:szCs w:val="24"/>
          <w:lang w:val="fr-FR" w:eastAsia="fr-FR"/>
        </w:rPr>
        <w:t xml:space="preserve"> les conséquences prévisibles du renvoi </w:t>
      </w:r>
      <w:r w:rsidR="006E5678" w:rsidRPr="00A66252">
        <w:rPr>
          <w:rFonts w:eastAsiaTheme="minorHAnsi"/>
          <w:szCs w:val="24"/>
          <w:lang w:val="fr-FR" w:eastAsia="fr-FR"/>
        </w:rPr>
        <w:t>sur l</w:t>
      </w:r>
      <w:r w:rsidR="00A66252" w:rsidRPr="00A66252">
        <w:rPr>
          <w:rFonts w:eastAsiaTheme="minorHAnsi"/>
          <w:szCs w:val="24"/>
          <w:lang w:val="fr-FR" w:eastAsia="fr-FR"/>
        </w:rPr>
        <w:t>’</w:t>
      </w:r>
      <w:r w:rsidR="006E5678" w:rsidRPr="00A66252">
        <w:rPr>
          <w:rFonts w:eastAsiaTheme="minorHAnsi"/>
          <w:szCs w:val="24"/>
          <w:lang w:val="fr-FR" w:eastAsia="fr-FR"/>
        </w:rPr>
        <w:t>intéressé</w:t>
      </w:r>
      <w:r w:rsidR="0063745F" w:rsidRPr="00A66252">
        <w:rPr>
          <w:rFonts w:eastAsiaTheme="minorHAnsi"/>
          <w:szCs w:val="24"/>
          <w:lang w:val="fr-FR" w:eastAsia="fr-FR"/>
        </w:rPr>
        <w:t xml:space="preserve"> dans </w:t>
      </w:r>
      <w:r w:rsidR="00BC377B" w:rsidRPr="00A66252">
        <w:rPr>
          <w:rFonts w:eastAsiaTheme="minorHAnsi"/>
          <w:szCs w:val="24"/>
          <w:lang w:val="fr-FR" w:eastAsia="fr-FR"/>
        </w:rPr>
        <w:t>l</w:t>
      </w:r>
      <w:r w:rsidR="00A66252" w:rsidRPr="00A66252">
        <w:rPr>
          <w:rFonts w:eastAsiaTheme="minorHAnsi"/>
          <w:szCs w:val="24"/>
          <w:lang w:val="fr-FR" w:eastAsia="fr-FR"/>
        </w:rPr>
        <w:t>’</w:t>
      </w:r>
      <w:r w:rsidR="00BC377B" w:rsidRPr="00A66252">
        <w:rPr>
          <w:rFonts w:eastAsiaTheme="minorHAnsi"/>
          <w:szCs w:val="24"/>
          <w:lang w:val="fr-FR" w:eastAsia="fr-FR"/>
        </w:rPr>
        <w:t>État</w:t>
      </w:r>
      <w:r w:rsidR="0063745F" w:rsidRPr="00A66252">
        <w:rPr>
          <w:rFonts w:eastAsiaTheme="minorHAnsi"/>
          <w:szCs w:val="24"/>
          <w:lang w:val="fr-FR" w:eastAsia="fr-FR"/>
        </w:rPr>
        <w:t xml:space="preserve"> de destination</w:t>
      </w:r>
      <w:r w:rsidR="009D3869" w:rsidRPr="00A66252">
        <w:rPr>
          <w:rFonts w:eastAsiaTheme="minorHAnsi"/>
          <w:szCs w:val="24"/>
          <w:lang w:val="fr-FR" w:eastAsia="fr-FR"/>
        </w:rPr>
        <w:t>,</w:t>
      </w:r>
      <w:r w:rsidR="0063745F" w:rsidRPr="00A66252">
        <w:rPr>
          <w:rFonts w:eastAsiaTheme="minorHAnsi"/>
          <w:szCs w:val="24"/>
          <w:lang w:val="fr-FR" w:eastAsia="fr-FR"/>
        </w:rPr>
        <w:t xml:space="preserve"> compte tenu de la situation générale dans celui-ci et des circonstances propres au cas de l</w:t>
      </w:r>
      <w:r w:rsidR="00A66252" w:rsidRPr="00A66252">
        <w:rPr>
          <w:rFonts w:eastAsiaTheme="minorHAnsi"/>
          <w:szCs w:val="24"/>
          <w:lang w:val="fr-FR" w:eastAsia="fr-FR"/>
        </w:rPr>
        <w:t>’</w:t>
      </w:r>
      <w:r w:rsidR="0063745F" w:rsidRPr="00A66252">
        <w:rPr>
          <w:rFonts w:eastAsiaTheme="minorHAnsi"/>
          <w:szCs w:val="24"/>
          <w:lang w:val="fr-FR" w:eastAsia="fr-FR"/>
        </w:rPr>
        <w:t>intéressé (</w:t>
      </w:r>
      <w:proofErr w:type="spellStart"/>
      <w:r w:rsidR="0063745F" w:rsidRPr="00A66252">
        <w:rPr>
          <w:rFonts w:eastAsiaTheme="minorHAnsi"/>
          <w:i/>
          <w:szCs w:val="24"/>
          <w:lang w:val="fr-FR" w:eastAsia="fr-FR"/>
        </w:rPr>
        <w:t>Vilvarajah</w:t>
      </w:r>
      <w:proofErr w:type="spellEnd"/>
      <w:r w:rsidR="00C312E7" w:rsidRPr="00A66252">
        <w:rPr>
          <w:rFonts w:eastAsiaTheme="minorHAnsi"/>
          <w:i/>
          <w:szCs w:val="24"/>
          <w:lang w:val="fr-FR" w:eastAsia="fr-FR"/>
        </w:rPr>
        <w:t xml:space="preserve"> et autres</w:t>
      </w:r>
      <w:r w:rsidR="00105220" w:rsidRPr="00A66252">
        <w:rPr>
          <w:rFonts w:eastAsiaTheme="minorHAnsi"/>
          <w:szCs w:val="24"/>
          <w:lang w:val="fr-FR" w:eastAsia="fr-FR"/>
        </w:rPr>
        <w:t xml:space="preserve">, </w:t>
      </w:r>
      <w:r w:rsidR="00912BF8" w:rsidRPr="00A66252">
        <w:rPr>
          <w:rFonts w:eastAsiaTheme="minorHAnsi"/>
          <w:szCs w:val="24"/>
          <w:lang w:val="fr-FR" w:eastAsia="fr-FR"/>
        </w:rPr>
        <w:t>précité,</w:t>
      </w:r>
      <w:r w:rsidR="0063745F" w:rsidRPr="00A66252">
        <w:rPr>
          <w:rFonts w:eastAsiaTheme="minorHAnsi"/>
          <w:szCs w:val="24"/>
          <w:lang w:val="fr-FR" w:eastAsia="fr-FR"/>
        </w:rPr>
        <w:t xml:space="preserve"> § 108, </w:t>
      </w:r>
      <w:r w:rsidR="0063745F" w:rsidRPr="00A66252">
        <w:rPr>
          <w:rFonts w:eastAsiaTheme="minorHAnsi"/>
          <w:i/>
          <w:szCs w:val="24"/>
          <w:lang w:val="fr-FR" w:eastAsia="fr-FR"/>
        </w:rPr>
        <w:t>El-</w:t>
      </w:r>
      <w:proofErr w:type="spellStart"/>
      <w:r w:rsidR="0063745F" w:rsidRPr="00A66252">
        <w:rPr>
          <w:rFonts w:eastAsiaTheme="minorHAnsi"/>
          <w:i/>
          <w:szCs w:val="24"/>
          <w:lang w:val="fr-FR" w:eastAsia="fr-FR"/>
        </w:rPr>
        <w:t>Masri</w:t>
      </w:r>
      <w:proofErr w:type="spellEnd"/>
      <w:r w:rsidR="00105220" w:rsidRPr="00A66252">
        <w:rPr>
          <w:rFonts w:eastAsiaTheme="minorHAnsi"/>
          <w:szCs w:val="24"/>
          <w:lang w:val="fr-FR" w:eastAsia="fr-FR"/>
        </w:rPr>
        <w:t xml:space="preserve">, </w:t>
      </w:r>
      <w:r w:rsidR="00BC377B" w:rsidRPr="00A66252">
        <w:rPr>
          <w:rFonts w:eastAsiaTheme="minorHAnsi"/>
          <w:szCs w:val="24"/>
          <w:lang w:val="fr-FR" w:eastAsia="fr-FR"/>
        </w:rPr>
        <w:t>précité, § </w:t>
      </w:r>
      <w:r w:rsidR="0063745F" w:rsidRPr="00A66252">
        <w:rPr>
          <w:rFonts w:eastAsiaTheme="minorHAnsi"/>
          <w:szCs w:val="24"/>
          <w:lang w:val="fr-FR" w:eastAsia="fr-FR"/>
        </w:rPr>
        <w:t>213</w:t>
      </w:r>
      <w:r w:rsidR="00D83DC6" w:rsidRPr="00A66252">
        <w:rPr>
          <w:rFonts w:eastAsiaTheme="minorHAnsi"/>
          <w:szCs w:val="24"/>
          <w:lang w:val="fr-FR" w:eastAsia="fr-FR"/>
        </w:rPr>
        <w:t xml:space="preserve">, et </w:t>
      </w:r>
      <w:proofErr w:type="spellStart"/>
      <w:r w:rsidR="00D83DC6" w:rsidRPr="00A66252">
        <w:rPr>
          <w:rFonts w:eastAsiaTheme="minorHAnsi"/>
          <w:i/>
          <w:szCs w:val="24"/>
          <w:lang w:val="fr-FR" w:eastAsia="fr-FR"/>
        </w:rPr>
        <w:t>Tarakhel</w:t>
      </w:r>
      <w:proofErr w:type="spellEnd"/>
      <w:r w:rsidR="00D83DC6" w:rsidRPr="00A66252">
        <w:rPr>
          <w:rFonts w:eastAsiaTheme="minorHAnsi"/>
          <w:szCs w:val="24"/>
          <w:lang w:val="fr-FR" w:eastAsia="fr-FR"/>
        </w:rPr>
        <w:t>, précité, § 105</w:t>
      </w:r>
      <w:r w:rsidR="0063745F" w:rsidRPr="00A66252">
        <w:rPr>
          <w:rFonts w:eastAsiaTheme="minorHAnsi"/>
          <w:szCs w:val="24"/>
          <w:lang w:val="fr-FR" w:eastAsia="fr-FR"/>
        </w:rPr>
        <w:t xml:space="preserve">). </w:t>
      </w:r>
      <w:r w:rsidR="00F12DC6" w:rsidRPr="00A66252">
        <w:rPr>
          <w:rFonts w:eastAsiaTheme="minorHAnsi"/>
          <w:szCs w:val="24"/>
          <w:lang w:val="fr-FR" w:eastAsia="fr-FR"/>
        </w:rPr>
        <w:t>L</w:t>
      </w:r>
      <w:r w:rsidR="00A66252" w:rsidRPr="00A66252">
        <w:rPr>
          <w:rFonts w:eastAsiaTheme="minorHAnsi"/>
          <w:szCs w:val="24"/>
          <w:lang w:val="fr-FR" w:eastAsia="fr-FR"/>
        </w:rPr>
        <w:t>’</w:t>
      </w:r>
      <w:r w:rsidR="00F12DC6" w:rsidRPr="00A66252">
        <w:rPr>
          <w:rFonts w:eastAsiaTheme="minorHAnsi"/>
          <w:szCs w:val="24"/>
          <w:lang w:val="fr-FR" w:eastAsia="fr-FR"/>
        </w:rPr>
        <w:t>évaluation du risque tel que défini ci-dessus (paragraphe</w:t>
      </w:r>
      <w:r w:rsidR="006E2C6B" w:rsidRPr="00A66252">
        <w:rPr>
          <w:rFonts w:eastAsiaTheme="minorHAnsi"/>
          <w:szCs w:val="24"/>
          <w:lang w:val="fr-FR" w:eastAsia="fr-FR"/>
        </w:rPr>
        <w:t xml:space="preserve">s </w:t>
      </w:r>
      <w:r w:rsidR="006E2C6B" w:rsidRPr="00A66252">
        <w:rPr>
          <w:rFonts w:eastAsiaTheme="minorHAnsi"/>
          <w:szCs w:val="24"/>
          <w:lang w:val="fr-FR" w:eastAsia="fr-FR"/>
        </w:rPr>
        <w:fldChar w:fldCharType="begin"/>
      </w:r>
      <w:r w:rsidR="006E2C6B" w:rsidRPr="00A66252">
        <w:rPr>
          <w:rFonts w:eastAsiaTheme="minorHAnsi"/>
          <w:szCs w:val="24"/>
          <w:lang w:val="fr-FR" w:eastAsia="fr-FR"/>
        </w:rPr>
        <w:instrText xml:space="preserve"> REF NVSEUIL1 \h </w:instrText>
      </w:r>
      <w:r w:rsidR="00C93FE5" w:rsidRPr="00A66252">
        <w:rPr>
          <w:rFonts w:eastAsiaTheme="minorHAnsi"/>
          <w:szCs w:val="24"/>
          <w:lang w:val="fr-FR" w:eastAsia="fr-FR"/>
        </w:rPr>
        <w:instrText xml:space="preserve"> \* MERGEFORMAT </w:instrText>
      </w:r>
      <w:r w:rsidR="006E2C6B" w:rsidRPr="00A66252">
        <w:rPr>
          <w:rFonts w:eastAsiaTheme="minorHAnsi"/>
          <w:szCs w:val="24"/>
          <w:lang w:val="fr-FR" w:eastAsia="fr-FR"/>
        </w:rPr>
      </w:r>
      <w:r w:rsidR="006E2C6B" w:rsidRPr="00A66252">
        <w:rPr>
          <w:rFonts w:eastAsiaTheme="minorHAnsi"/>
          <w:szCs w:val="24"/>
          <w:lang w:val="fr-FR" w:eastAsia="fr-FR"/>
        </w:rPr>
        <w:fldChar w:fldCharType="separate"/>
      </w:r>
      <w:r w:rsidR="00A66252" w:rsidRPr="00A66252">
        <w:rPr>
          <w:noProof/>
          <w:lang w:val="fr-FR" w:eastAsia="fr-FR"/>
        </w:rPr>
        <w:t>183</w:t>
      </w:r>
      <w:r w:rsidR="006E2C6B" w:rsidRPr="00A66252">
        <w:rPr>
          <w:rFonts w:eastAsiaTheme="minorHAnsi"/>
          <w:szCs w:val="24"/>
          <w:lang w:val="fr-FR" w:eastAsia="fr-FR"/>
        </w:rPr>
        <w:fldChar w:fldCharType="end"/>
      </w:r>
      <w:r w:rsidR="006E2C6B" w:rsidRPr="00A66252">
        <w:rPr>
          <w:rFonts w:eastAsiaTheme="minorHAnsi"/>
          <w:szCs w:val="24"/>
          <w:lang w:val="fr-FR" w:eastAsia="fr-FR"/>
        </w:rPr>
        <w:t>-</w:t>
      </w:r>
      <w:r w:rsidR="006E2C6B" w:rsidRPr="00A66252">
        <w:rPr>
          <w:rFonts w:eastAsiaTheme="minorHAnsi"/>
          <w:szCs w:val="24"/>
          <w:lang w:val="fr-FR" w:eastAsia="fr-FR"/>
        </w:rPr>
        <w:fldChar w:fldCharType="begin"/>
      </w:r>
      <w:r w:rsidR="006E2C6B" w:rsidRPr="00A66252">
        <w:rPr>
          <w:rFonts w:eastAsiaTheme="minorHAnsi"/>
          <w:szCs w:val="24"/>
          <w:lang w:val="fr-FR" w:eastAsia="fr-FR"/>
        </w:rPr>
        <w:instrText xml:space="preserve"> REF NVSEUIL2 \h </w:instrText>
      </w:r>
      <w:r w:rsidR="00C93FE5" w:rsidRPr="00A66252">
        <w:rPr>
          <w:rFonts w:eastAsiaTheme="minorHAnsi"/>
          <w:szCs w:val="24"/>
          <w:lang w:val="fr-FR" w:eastAsia="fr-FR"/>
        </w:rPr>
        <w:instrText xml:space="preserve"> \* MERGEFORMAT </w:instrText>
      </w:r>
      <w:r w:rsidR="006E2C6B" w:rsidRPr="00A66252">
        <w:rPr>
          <w:rFonts w:eastAsiaTheme="minorHAnsi"/>
          <w:szCs w:val="24"/>
          <w:lang w:val="fr-FR" w:eastAsia="fr-FR"/>
        </w:rPr>
      </w:r>
      <w:r w:rsidR="006E2C6B" w:rsidRPr="00A66252">
        <w:rPr>
          <w:rFonts w:eastAsiaTheme="minorHAnsi"/>
          <w:szCs w:val="24"/>
          <w:lang w:val="fr-FR" w:eastAsia="fr-FR"/>
        </w:rPr>
        <w:fldChar w:fldCharType="separate"/>
      </w:r>
      <w:r w:rsidR="00A66252" w:rsidRPr="00A66252">
        <w:rPr>
          <w:noProof/>
          <w:lang w:val="fr-FR" w:eastAsia="fr-FR"/>
        </w:rPr>
        <w:t>184</w:t>
      </w:r>
      <w:r w:rsidR="006E2C6B" w:rsidRPr="00A66252">
        <w:rPr>
          <w:rFonts w:eastAsiaTheme="minorHAnsi"/>
          <w:szCs w:val="24"/>
          <w:lang w:val="fr-FR" w:eastAsia="fr-FR"/>
        </w:rPr>
        <w:fldChar w:fldCharType="end"/>
      </w:r>
      <w:r w:rsidR="006E2C6B" w:rsidRPr="00A66252">
        <w:rPr>
          <w:rFonts w:eastAsiaTheme="minorHAnsi"/>
          <w:szCs w:val="24"/>
          <w:lang w:val="fr-FR" w:eastAsia="fr-FR"/>
        </w:rPr>
        <w:t>)</w:t>
      </w:r>
      <w:r w:rsidR="004826B5" w:rsidRPr="00A66252">
        <w:rPr>
          <w:rFonts w:eastAsiaTheme="minorHAnsi"/>
          <w:szCs w:val="24"/>
          <w:lang w:val="fr-FR" w:eastAsia="fr-FR"/>
        </w:rPr>
        <w:t xml:space="preserve"> </w:t>
      </w:r>
      <w:r w:rsidR="00F12DC6" w:rsidRPr="00A66252">
        <w:rPr>
          <w:rFonts w:eastAsiaTheme="minorHAnsi"/>
          <w:szCs w:val="24"/>
          <w:lang w:val="fr-FR" w:eastAsia="fr-FR"/>
        </w:rPr>
        <w:t>implique donc d</w:t>
      </w:r>
      <w:r w:rsidR="00A66252" w:rsidRPr="00A66252">
        <w:rPr>
          <w:rFonts w:eastAsiaTheme="minorHAnsi"/>
          <w:szCs w:val="24"/>
          <w:lang w:val="fr-FR" w:eastAsia="fr-FR"/>
        </w:rPr>
        <w:t>’</w:t>
      </w:r>
      <w:r w:rsidR="00F12DC6" w:rsidRPr="00A66252">
        <w:rPr>
          <w:rFonts w:eastAsiaTheme="minorHAnsi"/>
          <w:szCs w:val="24"/>
          <w:lang w:val="fr-FR" w:eastAsia="fr-FR"/>
        </w:rPr>
        <w:t xml:space="preserve">avoir égard à des sources générales </w:t>
      </w:r>
      <w:r w:rsidR="00F12DC6" w:rsidRPr="00A66252">
        <w:rPr>
          <w:rFonts w:ascii="Times New Roman" w:eastAsiaTheme="minorHAnsi" w:hAnsi="Times New Roman" w:cs="Times New Roman"/>
          <w:szCs w:val="24"/>
          <w:lang w:val="fr-FR" w:eastAsia="fr-FR"/>
        </w:rPr>
        <w:t>telles que les rapports de l</w:t>
      </w:r>
      <w:r w:rsidR="00A66252" w:rsidRPr="00A66252">
        <w:rPr>
          <w:rFonts w:ascii="Times New Roman" w:eastAsiaTheme="minorHAnsi" w:hAnsi="Times New Roman" w:cs="Times New Roman"/>
          <w:szCs w:val="24"/>
          <w:lang w:val="fr-FR" w:eastAsia="fr-FR"/>
        </w:rPr>
        <w:t>’</w:t>
      </w:r>
      <w:r w:rsidR="00F12DC6" w:rsidRPr="00A66252">
        <w:rPr>
          <w:rFonts w:ascii="Times New Roman" w:eastAsiaTheme="minorHAnsi" w:hAnsi="Times New Roman" w:cs="Times New Roman"/>
          <w:szCs w:val="24"/>
          <w:lang w:val="fr-FR" w:eastAsia="fr-FR"/>
        </w:rPr>
        <w:t>Organisation mondiale de la santé ou les rapports d</w:t>
      </w:r>
      <w:r w:rsidR="00A66252" w:rsidRPr="00A66252">
        <w:rPr>
          <w:rFonts w:ascii="Times New Roman" w:eastAsiaTheme="minorHAnsi" w:hAnsi="Times New Roman" w:cs="Times New Roman"/>
          <w:szCs w:val="24"/>
          <w:lang w:val="fr-FR" w:eastAsia="fr-FR"/>
        </w:rPr>
        <w:t>’</w:t>
      </w:r>
      <w:r w:rsidR="00F12DC6" w:rsidRPr="00A66252">
        <w:rPr>
          <w:rFonts w:ascii="Times New Roman" w:eastAsiaTheme="minorHAnsi" w:hAnsi="Times New Roman" w:cs="Times New Roman"/>
          <w:szCs w:val="24"/>
          <w:lang w:val="fr-FR" w:eastAsia="fr-FR"/>
        </w:rPr>
        <w:t>organisations non gouvernementales réputées, ainsi qu</w:t>
      </w:r>
      <w:r w:rsidR="00A66252" w:rsidRPr="00A66252">
        <w:rPr>
          <w:rFonts w:ascii="Times New Roman" w:eastAsiaTheme="minorHAnsi" w:hAnsi="Times New Roman" w:cs="Times New Roman"/>
          <w:szCs w:val="24"/>
          <w:lang w:val="fr-FR" w:eastAsia="fr-FR"/>
        </w:rPr>
        <w:t>’</w:t>
      </w:r>
      <w:r w:rsidR="00F12DC6" w:rsidRPr="00A66252">
        <w:rPr>
          <w:rFonts w:ascii="Times New Roman" w:eastAsiaTheme="minorHAnsi" w:hAnsi="Times New Roman" w:cs="Times New Roman"/>
          <w:szCs w:val="24"/>
          <w:lang w:val="fr-FR" w:eastAsia="fr-FR"/>
        </w:rPr>
        <w:t xml:space="preserve">aux attestations médicales établies </w:t>
      </w:r>
      <w:r w:rsidR="00B8403A" w:rsidRPr="00A66252">
        <w:rPr>
          <w:rFonts w:ascii="Times New Roman" w:eastAsiaTheme="minorHAnsi" w:hAnsi="Times New Roman" w:cs="Times New Roman"/>
          <w:szCs w:val="24"/>
          <w:lang w:val="fr-FR" w:eastAsia="fr-FR"/>
        </w:rPr>
        <w:t xml:space="preserve">au sujet </w:t>
      </w:r>
      <w:r w:rsidR="00F12DC6" w:rsidRPr="00A66252">
        <w:rPr>
          <w:rFonts w:ascii="Times New Roman" w:eastAsiaTheme="minorHAnsi" w:hAnsi="Times New Roman" w:cs="Times New Roman"/>
          <w:szCs w:val="24"/>
          <w:lang w:val="fr-FR" w:eastAsia="fr-FR"/>
        </w:rPr>
        <w:t>de la personne malade.</w:t>
      </w:r>
    </w:p>
    <w:p w:rsidR="00A66252" w:rsidRPr="00A66252" w:rsidRDefault="00C91AEB" w:rsidP="00A66252">
      <w:pPr>
        <w:pStyle w:val="ECHRPara"/>
        <w:rPr>
          <w:rFonts w:eastAsiaTheme="minorHAnsi"/>
          <w:szCs w:val="24"/>
          <w:lang w:val="fr-FR" w:eastAsia="fr-FR"/>
        </w:rPr>
      </w:pPr>
      <w:r w:rsidRPr="00A66252">
        <w:rPr>
          <w:rFonts w:eastAsiaTheme="minorHAnsi"/>
          <w:szCs w:val="24"/>
          <w:lang w:val="fr-FR" w:eastAsia="fr-FR"/>
        </w:rPr>
        <w:fldChar w:fldCharType="begin"/>
      </w:r>
      <w:r w:rsidRPr="00A66252">
        <w:rPr>
          <w:rFonts w:eastAsiaTheme="minorHAnsi"/>
          <w:szCs w:val="24"/>
          <w:lang w:val="fr-FR" w:eastAsia="fr-FR"/>
        </w:rPr>
        <w:instrText xml:space="preserve"> SEQ level0 \*arabic </w:instrText>
      </w:r>
      <w:r w:rsidRPr="00A66252">
        <w:rPr>
          <w:rFonts w:eastAsiaTheme="minorHAnsi"/>
          <w:szCs w:val="24"/>
          <w:lang w:val="fr-FR" w:eastAsia="fr-FR"/>
        </w:rPr>
        <w:fldChar w:fldCharType="separate"/>
      </w:r>
      <w:r w:rsidR="00A66252" w:rsidRPr="00A66252">
        <w:rPr>
          <w:rFonts w:eastAsiaTheme="minorHAnsi"/>
          <w:noProof/>
          <w:szCs w:val="24"/>
          <w:lang w:val="fr-FR" w:eastAsia="fr-FR"/>
        </w:rPr>
        <w:t>188</w:t>
      </w:r>
      <w:r w:rsidRPr="00A66252">
        <w:rPr>
          <w:rFonts w:eastAsiaTheme="minorHAnsi"/>
          <w:szCs w:val="24"/>
          <w:lang w:val="fr-FR" w:eastAsia="fr-FR"/>
        </w:rPr>
        <w:fldChar w:fldCharType="end"/>
      </w:r>
      <w:r w:rsidRPr="00A66252">
        <w:rPr>
          <w:rFonts w:eastAsiaTheme="minorHAnsi"/>
          <w:szCs w:val="24"/>
          <w:lang w:val="fr-FR" w:eastAsia="fr-FR"/>
        </w:rPr>
        <w:t>.  Ainsi qu</w:t>
      </w:r>
      <w:r w:rsidR="009D3869" w:rsidRPr="00A66252">
        <w:rPr>
          <w:rFonts w:eastAsiaTheme="minorHAnsi"/>
          <w:szCs w:val="24"/>
          <w:lang w:val="fr-FR" w:eastAsia="fr-FR"/>
        </w:rPr>
        <w:t>e</w:t>
      </w:r>
      <w:r w:rsidRPr="00A66252">
        <w:rPr>
          <w:rFonts w:eastAsiaTheme="minorHAnsi"/>
          <w:szCs w:val="24"/>
          <w:lang w:val="fr-FR" w:eastAsia="fr-FR"/>
        </w:rPr>
        <w:t xml:space="preserve"> </w:t>
      </w:r>
      <w:r w:rsidR="009D3869" w:rsidRPr="00A66252">
        <w:rPr>
          <w:rFonts w:eastAsiaTheme="minorHAnsi"/>
          <w:szCs w:val="24"/>
          <w:lang w:val="fr-FR" w:eastAsia="fr-FR"/>
        </w:rPr>
        <w:t xml:space="preserve">la Cour </w:t>
      </w:r>
      <w:r w:rsidRPr="00A66252">
        <w:rPr>
          <w:rFonts w:eastAsiaTheme="minorHAnsi"/>
          <w:szCs w:val="24"/>
          <w:lang w:val="fr-FR" w:eastAsia="fr-FR"/>
        </w:rPr>
        <w:t>l</w:t>
      </w:r>
      <w:r w:rsidR="00A66252" w:rsidRPr="00A66252">
        <w:rPr>
          <w:rFonts w:eastAsiaTheme="minorHAnsi"/>
          <w:szCs w:val="24"/>
          <w:lang w:val="fr-FR" w:eastAsia="fr-FR"/>
        </w:rPr>
        <w:t>’</w:t>
      </w:r>
      <w:r w:rsidRPr="00A66252">
        <w:rPr>
          <w:rFonts w:eastAsiaTheme="minorHAnsi"/>
          <w:szCs w:val="24"/>
          <w:lang w:val="fr-FR" w:eastAsia="fr-FR"/>
        </w:rPr>
        <w:t xml:space="preserve">a rappelé ci-dessus (voir paragraphe </w:t>
      </w:r>
      <w:r w:rsidR="00850E50" w:rsidRPr="00A66252">
        <w:rPr>
          <w:rFonts w:eastAsiaTheme="minorHAnsi"/>
          <w:szCs w:val="24"/>
          <w:lang w:val="fr-FR" w:eastAsia="fr-FR"/>
        </w:rPr>
        <w:fldChar w:fldCharType="begin"/>
      </w:r>
      <w:r w:rsidR="00850E50" w:rsidRPr="00A66252">
        <w:rPr>
          <w:rFonts w:eastAsiaTheme="minorHAnsi"/>
          <w:szCs w:val="24"/>
          <w:lang w:val="fr-FR" w:eastAsia="fr-FR"/>
        </w:rPr>
        <w:instrText xml:space="preserve"> REF RESPEXPU \h </w:instrText>
      </w:r>
      <w:r w:rsidR="00C93FE5" w:rsidRPr="00A66252">
        <w:rPr>
          <w:rFonts w:eastAsiaTheme="minorHAnsi"/>
          <w:szCs w:val="24"/>
          <w:lang w:val="fr-FR" w:eastAsia="fr-FR"/>
        </w:rPr>
        <w:instrText xml:space="preserve"> \* MERGEFORMAT </w:instrText>
      </w:r>
      <w:r w:rsidR="00850E50" w:rsidRPr="00A66252">
        <w:rPr>
          <w:rFonts w:eastAsiaTheme="minorHAnsi"/>
          <w:szCs w:val="24"/>
          <w:lang w:val="fr-FR" w:eastAsia="fr-FR"/>
        </w:rPr>
      </w:r>
      <w:r w:rsidR="00850E50" w:rsidRPr="00A66252">
        <w:rPr>
          <w:rFonts w:eastAsiaTheme="minorHAnsi"/>
          <w:szCs w:val="24"/>
          <w:lang w:val="fr-FR" w:eastAsia="fr-FR"/>
        </w:rPr>
        <w:fldChar w:fldCharType="separate"/>
      </w:r>
      <w:r w:rsidR="00A66252" w:rsidRPr="00A66252">
        <w:rPr>
          <w:noProof/>
          <w:lang w:val="fr-FR" w:eastAsia="fr-FR"/>
        </w:rPr>
        <w:t>173</w:t>
      </w:r>
      <w:r w:rsidR="00850E50" w:rsidRPr="00A66252">
        <w:rPr>
          <w:rFonts w:eastAsiaTheme="minorHAnsi"/>
          <w:szCs w:val="24"/>
          <w:lang w:val="fr-FR" w:eastAsia="fr-FR"/>
        </w:rPr>
        <w:fldChar w:fldCharType="end"/>
      </w:r>
      <w:r w:rsidRPr="00A66252">
        <w:rPr>
          <w:rFonts w:eastAsiaTheme="minorHAnsi"/>
          <w:szCs w:val="24"/>
          <w:lang w:val="fr-FR" w:eastAsia="fr-FR"/>
        </w:rPr>
        <w:t xml:space="preserve">), </w:t>
      </w:r>
      <w:r w:rsidR="00DC4284" w:rsidRPr="00A66252">
        <w:rPr>
          <w:rFonts w:eastAsiaTheme="minorHAnsi"/>
          <w:szCs w:val="24"/>
          <w:lang w:val="fr-FR" w:eastAsia="fr-FR"/>
        </w:rPr>
        <w:t xml:space="preserve">se trouve en jeu ici </w:t>
      </w:r>
      <w:r w:rsidRPr="00A66252">
        <w:rPr>
          <w:rFonts w:eastAsiaTheme="minorHAnsi"/>
          <w:szCs w:val="24"/>
          <w:lang w:val="fr-FR" w:eastAsia="fr-FR"/>
        </w:rPr>
        <w:t>l</w:t>
      </w:r>
      <w:r w:rsidR="00A66252" w:rsidRPr="00A66252">
        <w:rPr>
          <w:rFonts w:eastAsiaTheme="minorHAnsi"/>
          <w:szCs w:val="24"/>
          <w:lang w:val="fr-FR" w:eastAsia="fr-FR"/>
        </w:rPr>
        <w:t>’</w:t>
      </w:r>
      <w:r w:rsidRPr="00A66252">
        <w:rPr>
          <w:rFonts w:eastAsiaTheme="minorHAnsi"/>
          <w:szCs w:val="24"/>
          <w:lang w:val="fr-FR" w:eastAsia="fr-FR"/>
        </w:rPr>
        <w:t xml:space="preserve">obligation négative de ne pas </w:t>
      </w:r>
      <w:r w:rsidRPr="00A66252">
        <w:rPr>
          <w:lang w:val="fr-FR" w:eastAsia="fr-FR"/>
        </w:rPr>
        <w:t>exposer quelqu</w:t>
      </w:r>
      <w:r w:rsidR="00A66252" w:rsidRPr="00A66252">
        <w:rPr>
          <w:lang w:val="fr-FR" w:eastAsia="fr-FR"/>
        </w:rPr>
        <w:t>’</w:t>
      </w:r>
      <w:r w:rsidRPr="00A66252">
        <w:rPr>
          <w:lang w:val="fr-FR" w:eastAsia="fr-FR"/>
        </w:rPr>
        <w:t>un à un risque de mauvais traitements prohibés</w:t>
      </w:r>
      <w:r w:rsidRPr="00A66252">
        <w:rPr>
          <w:rFonts w:eastAsiaTheme="minorHAnsi"/>
          <w:szCs w:val="24"/>
          <w:lang w:val="fr-FR" w:eastAsia="fr-FR"/>
        </w:rPr>
        <w:t xml:space="preserve"> par l</w:t>
      </w:r>
      <w:r w:rsidR="00A66252" w:rsidRPr="00A66252">
        <w:rPr>
          <w:rFonts w:eastAsiaTheme="minorHAnsi"/>
          <w:szCs w:val="24"/>
          <w:lang w:val="fr-FR" w:eastAsia="fr-FR"/>
        </w:rPr>
        <w:t>’</w:t>
      </w:r>
      <w:r w:rsidRPr="00A66252">
        <w:rPr>
          <w:rFonts w:eastAsiaTheme="minorHAnsi"/>
          <w:szCs w:val="24"/>
          <w:lang w:val="fr-FR" w:eastAsia="fr-FR"/>
        </w:rPr>
        <w:t>article 3. Il s</w:t>
      </w:r>
      <w:r w:rsidR="00A66252" w:rsidRPr="00A66252">
        <w:rPr>
          <w:rFonts w:eastAsiaTheme="minorHAnsi"/>
          <w:szCs w:val="24"/>
          <w:lang w:val="fr-FR" w:eastAsia="fr-FR"/>
        </w:rPr>
        <w:t>’</w:t>
      </w:r>
      <w:r w:rsidRPr="00A66252">
        <w:rPr>
          <w:rFonts w:eastAsiaTheme="minorHAnsi"/>
          <w:szCs w:val="24"/>
          <w:lang w:val="fr-FR" w:eastAsia="fr-FR"/>
        </w:rPr>
        <w:t xml:space="preserve">ensuit que </w:t>
      </w:r>
      <w:r w:rsidR="00F12DC6" w:rsidRPr="00A66252">
        <w:rPr>
          <w:rFonts w:eastAsiaTheme="minorHAnsi"/>
          <w:szCs w:val="24"/>
          <w:lang w:val="fr-FR" w:eastAsia="fr-FR"/>
        </w:rPr>
        <w:t>les conséquences du renvoi sur l</w:t>
      </w:r>
      <w:r w:rsidR="00A66252" w:rsidRPr="00A66252">
        <w:rPr>
          <w:rFonts w:eastAsiaTheme="minorHAnsi"/>
          <w:szCs w:val="24"/>
          <w:lang w:val="fr-FR" w:eastAsia="fr-FR"/>
        </w:rPr>
        <w:t>’</w:t>
      </w:r>
      <w:r w:rsidR="00F12DC6" w:rsidRPr="00A66252">
        <w:rPr>
          <w:rFonts w:eastAsiaTheme="minorHAnsi"/>
          <w:szCs w:val="24"/>
          <w:lang w:val="fr-FR" w:eastAsia="fr-FR"/>
        </w:rPr>
        <w:t xml:space="preserve">intéressé doivent être évaluées en comparant </w:t>
      </w:r>
      <w:r w:rsidR="00F76A4A" w:rsidRPr="00A66252">
        <w:rPr>
          <w:rFonts w:eastAsiaTheme="minorHAnsi"/>
          <w:szCs w:val="24"/>
          <w:lang w:val="fr-FR" w:eastAsia="fr-FR"/>
        </w:rPr>
        <w:t xml:space="preserve">son </w:t>
      </w:r>
      <w:r w:rsidR="00F12DC6" w:rsidRPr="00A66252">
        <w:rPr>
          <w:rFonts w:eastAsiaTheme="minorHAnsi"/>
          <w:szCs w:val="24"/>
          <w:lang w:val="fr-FR" w:eastAsia="fr-FR"/>
        </w:rPr>
        <w:t>état de santé avant l</w:t>
      </w:r>
      <w:r w:rsidR="00A66252" w:rsidRPr="00A66252">
        <w:rPr>
          <w:rFonts w:eastAsiaTheme="minorHAnsi"/>
          <w:szCs w:val="24"/>
          <w:lang w:val="fr-FR" w:eastAsia="fr-FR"/>
        </w:rPr>
        <w:t>’</w:t>
      </w:r>
      <w:r w:rsidR="00F12DC6" w:rsidRPr="00A66252">
        <w:rPr>
          <w:rFonts w:eastAsiaTheme="minorHAnsi"/>
          <w:szCs w:val="24"/>
          <w:lang w:val="fr-FR" w:eastAsia="fr-FR"/>
        </w:rPr>
        <w:t xml:space="preserve">éloignement </w:t>
      </w:r>
      <w:r w:rsidR="00DC4284" w:rsidRPr="00A66252">
        <w:rPr>
          <w:rFonts w:eastAsiaTheme="minorHAnsi"/>
          <w:szCs w:val="24"/>
          <w:lang w:val="fr-FR" w:eastAsia="fr-FR"/>
        </w:rPr>
        <w:t xml:space="preserve">avec </w:t>
      </w:r>
      <w:r w:rsidR="00F12DC6" w:rsidRPr="00A66252">
        <w:rPr>
          <w:rFonts w:eastAsiaTheme="minorHAnsi"/>
          <w:szCs w:val="24"/>
          <w:lang w:val="fr-FR" w:eastAsia="fr-FR"/>
        </w:rPr>
        <w:t>celui qui serait le sien dans l</w:t>
      </w:r>
      <w:r w:rsidR="00A66252" w:rsidRPr="00A66252">
        <w:rPr>
          <w:rFonts w:eastAsiaTheme="minorHAnsi"/>
          <w:szCs w:val="24"/>
          <w:lang w:val="fr-FR" w:eastAsia="fr-FR"/>
        </w:rPr>
        <w:t>’</w:t>
      </w:r>
      <w:r w:rsidR="00F12DC6" w:rsidRPr="00A66252">
        <w:rPr>
          <w:rFonts w:eastAsiaTheme="minorHAnsi"/>
          <w:szCs w:val="24"/>
          <w:lang w:val="fr-FR" w:eastAsia="fr-FR"/>
        </w:rPr>
        <w:t>État de destination après y avoir été envoyé</w:t>
      </w:r>
      <w:r w:rsidR="006D7129" w:rsidRPr="00A66252">
        <w:rPr>
          <w:rFonts w:eastAsiaTheme="minorHAnsi"/>
          <w:szCs w:val="24"/>
          <w:lang w:val="fr-FR" w:eastAsia="fr-FR"/>
        </w:rPr>
        <w:t>.</w:t>
      </w:r>
    </w:p>
    <w:p w:rsidR="00A66252" w:rsidRPr="00A66252" w:rsidRDefault="00AF6B5B" w:rsidP="00A66252">
      <w:pPr>
        <w:pStyle w:val="ECHRPara"/>
        <w:rPr>
          <w:szCs w:val="24"/>
          <w:lang w:val="fr-FR" w:eastAsia="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189</w:t>
      </w:r>
      <w:r w:rsidRPr="00A66252">
        <w:rPr>
          <w:szCs w:val="24"/>
          <w:lang w:val="fr-FR" w:eastAsia="fr-FR"/>
        </w:rPr>
        <w:fldChar w:fldCharType="end"/>
      </w:r>
      <w:r w:rsidRPr="00A66252">
        <w:rPr>
          <w:szCs w:val="24"/>
          <w:lang w:val="fr-FR" w:eastAsia="fr-FR"/>
        </w:rPr>
        <w:t>.  </w:t>
      </w:r>
      <w:r w:rsidR="00F12DC6" w:rsidRPr="00A66252">
        <w:rPr>
          <w:rFonts w:eastAsiaTheme="minorHAnsi"/>
          <w:szCs w:val="24"/>
          <w:lang w:val="fr-FR" w:eastAsia="fr-FR"/>
        </w:rPr>
        <w:t>S</w:t>
      </w:r>
      <w:r w:rsidR="00A66252" w:rsidRPr="00A66252">
        <w:rPr>
          <w:rFonts w:eastAsiaTheme="minorHAnsi"/>
          <w:szCs w:val="24"/>
          <w:lang w:val="fr-FR" w:eastAsia="fr-FR"/>
        </w:rPr>
        <w:t>’</w:t>
      </w:r>
      <w:r w:rsidR="00F12DC6" w:rsidRPr="00A66252">
        <w:rPr>
          <w:rFonts w:eastAsiaTheme="minorHAnsi"/>
          <w:szCs w:val="24"/>
          <w:lang w:val="fr-FR" w:eastAsia="fr-FR"/>
        </w:rPr>
        <w:t xml:space="preserve">agissant des facteurs à prendre en considération, </w:t>
      </w:r>
      <w:r w:rsidR="00F12DC6" w:rsidRPr="00A66252">
        <w:rPr>
          <w:szCs w:val="24"/>
          <w:lang w:val="fr-FR" w:eastAsia="fr-FR"/>
        </w:rPr>
        <w:t>il</w:t>
      </w:r>
      <w:r w:rsidR="002B7FB0" w:rsidRPr="00A66252">
        <w:rPr>
          <w:szCs w:val="24"/>
          <w:lang w:val="fr-FR" w:eastAsia="fr-FR"/>
        </w:rPr>
        <w:t xml:space="preserve"> y a lieu</w:t>
      </w:r>
      <w:r w:rsidR="0080452E" w:rsidRPr="00A66252">
        <w:rPr>
          <w:szCs w:val="24"/>
          <w:lang w:val="fr-FR" w:eastAsia="fr-FR"/>
        </w:rPr>
        <w:t xml:space="preserve"> pour </w:t>
      </w:r>
      <w:r w:rsidR="001535A3" w:rsidRPr="00A66252">
        <w:rPr>
          <w:szCs w:val="24"/>
          <w:lang w:val="fr-FR" w:eastAsia="fr-FR"/>
        </w:rPr>
        <w:t>les autorit</w:t>
      </w:r>
      <w:r w:rsidR="001535A3" w:rsidRPr="00A66252">
        <w:rPr>
          <w:rFonts w:cstheme="minorHAnsi"/>
          <w:szCs w:val="24"/>
          <w:lang w:val="fr-FR" w:eastAsia="fr-FR"/>
        </w:rPr>
        <w:t>é</w:t>
      </w:r>
      <w:r w:rsidR="001535A3" w:rsidRPr="00A66252">
        <w:rPr>
          <w:szCs w:val="24"/>
          <w:lang w:val="fr-FR" w:eastAsia="fr-FR"/>
        </w:rPr>
        <w:t xml:space="preserve">s de </w:t>
      </w:r>
      <w:r w:rsidR="0080452E" w:rsidRPr="00A66252">
        <w:rPr>
          <w:szCs w:val="24"/>
          <w:lang w:val="fr-FR" w:eastAsia="fr-FR"/>
        </w:rPr>
        <w:t>l</w:t>
      </w:r>
      <w:r w:rsidR="00A66252" w:rsidRPr="00A66252">
        <w:rPr>
          <w:szCs w:val="24"/>
          <w:lang w:val="fr-FR" w:eastAsia="fr-FR"/>
        </w:rPr>
        <w:t>’</w:t>
      </w:r>
      <w:r w:rsidR="0080452E" w:rsidRPr="00A66252">
        <w:rPr>
          <w:szCs w:val="24"/>
          <w:lang w:val="fr-FR" w:eastAsia="fr-FR"/>
        </w:rPr>
        <w:t>État de renvoi</w:t>
      </w:r>
      <w:r w:rsidR="00F12DC6" w:rsidRPr="00A66252">
        <w:rPr>
          <w:szCs w:val="24"/>
          <w:lang w:val="fr-FR" w:eastAsia="fr-FR"/>
        </w:rPr>
        <w:t xml:space="preserve"> </w:t>
      </w:r>
      <w:r w:rsidR="002B7FB0" w:rsidRPr="00A66252">
        <w:rPr>
          <w:szCs w:val="24"/>
          <w:lang w:val="fr-FR" w:eastAsia="fr-FR"/>
        </w:rPr>
        <w:t xml:space="preserve">de </w:t>
      </w:r>
      <w:r w:rsidR="00AA6711" w:rsidRPr="00A66252">
        <w:rPr>
          <w:szCs w:val="24"/>
          <w:lang w:val="fr-FR" w:eastAsia="fr-FR"/>
        </w:rPr>
        <w:t xml:space="preserve">vérifier </w:t>
      </w:r>
      <w:r w:rsidR="00C33E7A" w:rsidRPr="00A66252">
        <w:rPr>
          <w:szCs w:val="24"/>
          <w:lang w:val="fr-FR" w:eastAsia="fr-FR"/>
        </w:rPr>
        <w:t xml:space="preserve">au cas par cas </w:t>
      </w:r>
      <w:r w:rsidR="00AA6711" w:rsidRPr="00A66252">
        <w:rPr>
          <w:szCs w:val="24"/>
          <w:lang w:val="fr-FR" w:eastAsia="fr-FR"/>
        </w:rPr>
        <w:t xml:space="preserve">si </w:t>
      </w:r>
      <w:r w:rsidR="00A16B4C" w:rsidRPr="00A66252">
        <w:rPr>
          <w:szCs w:val="24"/>
          <w:lang w:val="fr-FR" w:eastAsia="fr-FR"/>
        </w:rPr>
        <w:t xml:space="preserve">les soins </w:t>
      </w:r>
      <w:r w:rsidR="0080452E" w:rsidRPr="00A66252">
        <w:rPr>
          <w:szCs w:val="24"/>
          <w:lang w:val="fr-FR" w:eastAsia="fr-FR"/>
        </w:rPr>
        <w:t xml:space="preserve">généralement </w:t>
      </w:r>
      <w:r w:rsidR="00A16B4C" w:rsidRPr="00A66252">
        <w:rPr>
          <w:szCs w:val="24"/>
          <w:lang w:val="fr-FR" w:eastAsia="fr-FR"/>
        </w:rPr>
        <w:t xml:space="preserve">disponibles dans </w:t>
      </w:r>
      <w:r w:rsidR="002B7FB0" w:rsidRPr="00A66252">
        <w:rPr>
          <w:rFonts w:eastAsiaTheme="minorHAnsi"/>
          <w:szCs w:val="24"/>
          <w:lang w:val="fr-FR" w:eastAsia="fr-FR"/>
        </w:rPr>
        <w:t>l</w:t>
      </w:r>
      <w:r w:rsidR="00A66252" w:rsidRPr="00A66252">
        <w:rPr>
          <w:rFonts w:eastAsiaTheme="minorHAnsi"/>
          <w:szCs w:val="24"/>
          <w:lang w:val="fr-FR" w:eastAsia="fr-FR"/>
        </w:rPr>
        <w:t>’</w:t>
      </w:r>
      <w:r w:rsidR="002B7FB0" w:rsidRPr="00A66252">
        <w:rPr>
          <w:rFonts w:eastAsiaTheme="minorHAnsi"/>
          <w:szCs w:val="24"/>
          <w:lang w:val="fr-FR" w:eastAsia="fr-FR"/>
        </w:rPr>
        <w:t>État</w:t>
      </w:r>
      <w:r w:rsidR="002B7FB0" w:rsidRPr="00A66252">
        <w:rPr>
          <w:szCs w:val="24"/>
          <w:lang w:val="fr-FR" w:eastAsia="fr-FR"/>
        </w:rPr>
        <w:t xml:space="preserve"> </w:t>
      </w:r>
      <w:r w:rsidR="00A16B4C" w:rsidRPr="00A66252">
        <w:rPr>
          <w:szCs w:val="24"/>
          <w:lang w:val="fr-FR" w:eastAsia="fr-FR"/>
        </w:rPr>
        <w:t xml:space="preserve">de destination </w:t>
      </w:r>
      <w:r w:rsidR="00AA6711" w:rsidRPr="00A66252">
        <w:rPr>
          <w:szCs w:val="24"/>
          <w:lang w:val="fr-FR" w:eastAsia="fr-FR"/>
        </w:rPr>
        <w:t>sont</w:t>
      </w:r>
      <w:r w:rsidR="00A16B4C" w:rsidRPr="00A66252">
        <w:rPr>
          <w:szCs w:val="24"/>
          <w:lang w:val="fr-FR" w:eastAsia="fr-FR"/>
        </w:rPr>
        <w:t xml:space="preserve"> suffisants et adéquats</w:t>
      </w:r>
      <w:r w:rsidR="0070474E" w:rsidRPr="00A66252">
        <w:rPr>
          <w:szCs w:val="24"/>
          <w:lang w:val="fr-FR" w:eastAsia="fr-FR"/>
        </w:rPr>
        <w:t xml:space="preserve"> </w:t>
      </w:r>
      <w:r w:rsidR="005B425E" w:rsidRPr="00A66252">
        <w:rPr>
          <w:szCs w:val="24"/>
          <w:lang w:val="fr-FR" w:eastAsia="fr-FR"/>
        </w:rPr>
        <w:t xml:space="preserve">en pratique </w:t>
      </w:r>
      <w:r w:rsidR="00AE476E" w:rsidRPr="00A66252">
        <w:rPr>
          <w:szCs w:val="24"/>
          <w:lang w:val="fr-FR" w:eastAsia="fr-FR"/>
        </w:rPr>
        <w:t>pour traiter</w:t>
      </w:r>
      <w:r w:rsidR="00903AEB" w:rsidRPr="00A66252">
        <w:rPr>
          <w:szCs w:val="24"/>
          <w:lang w:val="fr-FR" w:eastAsia="fr-FR"/>
        </w:rPr>
        <w:t xml:space="preserve"> la pathologie dont souffre</w:t>
      </w:r>
      <w:r w:rsidR="00880B96" w:rsidRPr="00A66252">
        <w:rPr>
          <w:szCs w:val="24"/>
          <w:lang w:val="fr-FR" w:eastAsia="fr-FR"/>
        </w:rPr>
        <w:t xml:space="preserve"> </w:t>
      </w:r>
      <w:r w:rsidR="00FF5034" w:rsidRPr="00A66252">
        <w:rPr>
          <w:szCs w:val="24"/>
          <w:lang w:val="fr-FR" w:eastAsia="fr-FR"/>
        </w:rPr>
        <w:t>l</w:t>
      </w:r>
      <w:r w:rsidR="00A66252" w:rsidRPr="00A66252">
        <w:rPr>
          <w:szCs w:val="24"/>
          <w:lang w:val="fr-FR" w:eastAsia="fr-FR"/>
        </w:rPr>
        <w:t>’</w:t>
      </w:r>
      <w:r w:rsidR="00EC7A4F" w:rsidRPr="00A66252">
        <w:rPr>
          <w:szCs w:val="24"/>
          <w:lang w:val="fr-FR" w:eastAsia="fr-FR"/>
        </w:rPr>
        <w:t>intéressé</w:t>
      </w:r>
      <w:r w:rsidR="00C33E7A" w:rsidRPr="00A66252">
        <w:rPr>
          <w:szCs w:val="24"/>
          <w:lang w:val="fr-FR" w:eastAsia="fr-FR"/>
        </w:rPr>
        <w:t xml:space="preserve"> afin d</w:t>
      </w:r>
      <w:r w:rsidR="00A66252" w:rsidRPr="00A66252">
        <w:rPr>
          <w:szCs w:val="24"/>
          <w:lang w:val="fr-FR" w:eastAsia="fr-FR"/>
        </w:rPr>
        <w:t>’</w:t>
      </w:r>
      <w:r w:rsidR="00C33E7A" w:rsidRPr="00A66252">
        <w:rPr>
          <w:szCs w:val="24"/>
          <w:lang w:val="fr-FR" w:eastAsia="fr-FR"/>
        </w:rPr>
        <w:t>éviter qu</w:t>
      </w:r>
      <w:r w:rsidR="00A66252" w:rsidRPr="00A66252">
        <w:rPr>
          <w:szCs w:val="24"/>
          <w:lang w:val="fr-FR" w:eastAsia="fr-FR"/>
        </w:rPr>
        <w:t>’</w:t>
      </w:r>
      <w:r w:rsidR="00C33E7A" w:rsidRPr="00A66252">
        <w:rPr>
          <w:szCs w:val="24"/>
          <w:lang w:val="fr-FR" w:eastAsia="fr-FR"/>
        </w:rPr>
        <w:t>il soit exposé à un traitement c</w:t>
      </w:r>
      <w:r w:rsidR="003524BE" w:rsidRPr="00A66252">
        <w:rPr>
          <w:szCs w:val="24"/>
          <w:lang w:val="fr-FR" w:eastAsia="fr-FR"/>
        </w:rPr>
        <w:t>ontraire à l</w:t>
      </w:r>
      <w:r w:rsidR="00A66252" w:rsidRPr="00A66252">
        <w:rPr>
          <w:szCs w:val="24"/>
          <w:lang w:val="fr-FR" w:eastAsia="fr-FR"/>
        </w:rPr>
        <w:t>’</w:t>
      </w:r>
      <w:r w:rsidR="003524BE" w:rsidRPr="00A66252">
        <w:rPr>
          <w:szCs w:val="24"/>
          <w:lang w:val="fr-FR" w:eastAsia="fr-FR"/>
        </w:rPr>
        <w:t>article 3 (voir</w:t>
      </w:r>
      <w:r w:rsidR="00C33E7A" w:rsidRPr="00A66252">
        <w:rPr>
          <w:szCs w:val="24"/>
          <w:lang w:val="fr-FR" w:eastAsia="fr-FR"/>
        </w:rPr>
        <w:t xml:space="preserve"> paragraphe </w:t>
      </w:r>
      <w:r w:rsidR="00C33E7A" w:rsidRPr="00A66252">
        <w:rPr>
          <w:szCs w:val="24"/>
          <w:lang w:val="fr-FR" w:eastAsia="fr-FR"/>
        </w:rPr>
        <w:fldChar w:fldCharType="begin"/>
      </w:r>
      <w:r w:rsidR="00C33E7A" w:rsidRPr="00A66252">
        <w:rPr>
          <w:szCs w:val="24"/>
          <w:lang w:val="fr-FR" w:eastAsia="fr-FR"/>
        </w:rPr>
        <w:instrText xml:space="preserve"> REF NVSEUIL1 \h </w:instrText>
      </w:r>
      <w:r w:rsidR="008D693B" w:rsidRPr="00A66252">
        <w:rPr>
          <w:szCs w:val="24"/>
          <w:lang w:val="fr-FR" w:eastAsia="fr-FR"/>
        </w:rPr>
        <w:instrText xml:space="preserve"> \* MERGEFORMAT </w:instrText>
      </w:r>
      <w:r w:rsidR="00C33E7A" w:rsidRPr="00A66252">
        <w:rPr>
          <w:szCs w:val="24"/>
          <w:lang w:val="fr-FR" w:eastAsia="fr-FR"/>
        </w:rPr>
      </w:r>
      <w:r w:rsidR="00C33E7A" w:rsidRPr="00A66252">
        <w:rPr>
          <w:szCs w:val="24"/>
          <w:lang w:val="fr-FR" w:eastAsia="fr-FR"/>
        </w:rPr>
        <w:fldChar w:fldCharType="separate"/>
      </w:r>
      <w:r w:rsidR="00A66252" w:rsidRPr="00A66252">
        <w:rPr>
          <w:noProof/>
          <w:lang w:val="fr-FR" w:eastAsia="fr-FR"/>
        </w:rPr>
        <w:t>183</w:t>
      </w:r>
      <w:r w:rsidR="00C33E7A" w:rsidRPr="00A66252">
        <w:rPr>
          <w:szCs w:val="24"/>
          <w:lang w:val="fr-FR" w:eastAsia="fr-FR"/>
        </w:rPr>
        <w:fldChar w:fldCharType="end"/>
      </w:r>
      <w:r w:rsidR="0070474E" w:rsidRPr="00A66252">
        <w:rPr>
          <w:szCs w:val="24"/>
          <w:lang w:val="fr-FR" w:eastAsia="fr-FR"/>
        </w:rPr>
        <w:t>, ci</w:t>
      </w:r>
      <w:r w:rsidR="0070474E" w:rsidRPr="00A66252">
        <w:rPr>
          <w:szCs w:val="24"/>
          <w:lang w:val="fr-FR" w:eastAsia="fr-FR"/>
        </w:rPr>
        <w:noBreakHyphen/>
        <w:t>dessus</w:t>
      </w:r>
      <w:r w:rsidR="00C33E7A" w:rsidRPr="00A66252">
        <w:rPr>
          <w:szCs w:val="24"/>
          <w:lang w:val="fr-FR" w:eastAsia="fr-FR"/>
        </w:rPr>
        <w:t>)</w:t>
      </w:r>
      <w:r w:rsidR="00AA6711" w:rsidRPr="00A66252">
        <w:rPr>
          <w:szCs w:val="24"/>
          <w:lang w:val="fr-FR" w:eastAsia="fr-FR"/>
        </w:rPr>
        <w:t>.</w:t>
      </w:r>
      <w:r w:rsidR="00A16B4C" w:rsidRPr="00A66252">
        <w:rPr>
          <w:szCs w:val="24"/>
          <w:lang w:val="fr-FR" w:eastAsia="fr-FR"/>
        </w:rPr>
        <w:t xml:space="preserve"> </w:t>
      </w:r>
      <w:r w:rsidR="00E7251A" w:rsidRPr="00A66252">
        <w:rPr>
          <w:szCs w:val="24"/>
          <w:lang w:val="fr-FR" w:eastAsia="fr-FR"/>
        </w:rPr>
        <w:t>Le</w:t>
      </w:r>
      <w:r w:rsidR="00A16B4C" w:rsidRPr="00A66252">
        <w:rPr>
          <w:szCs w:val="24"/>
          <w:lang w:val="fr-FR" w:eastAsia="fr-FR"/>
        </w:rPr>
        <w:t xml:space="preserve"> paramètre de référence </w:t>
      </w:r>
      <w:r w:rsidR="00A345F7" w:rsidRPr="00A66252">
        <w:rPr>
          <w:szCs w:val="24"/>
          <w:lang w:val="fr-FR" w:eastAsia="fr-FR"/>
        </w:rPr>
        <w:t>n</w:t>
      </w:r>
      <w:r w:rsidR="00A66252" w:rsidRPr="00A66252">
        <w:rPr>
          <w:szCs w:val="24"/>
          <w:lang w:val="fr-FR" w:eastAsia="fr-FR"/>
        </w:rPr>
        <w:t>’</w:t>
      </w:r>
      <w:r w:rsidR="00A345F7" w:rsidRPr="00A66252">
        <w:rPr>
          <w:szCs w:val="24"/>
          <w:lang w:val="fr-FR" w:eastAsia="fr-FR"/>
        </w:rPr>
        <w:t>est</w:t>
      </w:r>
      <w:r w:rsidR="00A16B4C" w:rsidRPr="00A66252">
        <w:rPr>
          <w:szCs w:val="24"/>
          <w:lang w:val="fr-FR" w:eastAsia="fr-FR"/>
        </w:rPr>
        <w:t xml:space="preserve"> pas le niveau de soins existant dans l</w:t>
      </w:r>
      <w:r w:rsidR="00A66252" w:rsidRPr="00A66252">
        <w:rPr>
          <w:szCs w:val="24"/>
          <w:lang w:val="fr-FR" w:eastAsia="fr-FR"/>
        </w:rPr>
        <w:t>’</w:t>
      </w:r>
      <w:r w:rsidR="0088072A" w:rsidRPr="00A66252">
        <w:rPr>
          <w:szCs w:val="24"/>
          <w:lang w:val="fr-FR" w:eastAsia="fr-FR"/>
        </w:rPr>
        <w:t>É</w:t>
      </w:r>
      <w:r w:rsidR="00A16B4C" w:rsidRPr="00A66252">
        <w:rPr>
          <w:szCs w:val="24"/>
          <w:lang w:val="fr-FR" w:eastAsia="fr-FR"/>
        </w:rPr>
        <w:t xml:space="preserve">tat </w:t>
      </w:r>
      <w:r w:rsidR="0088072A" w:rsidRPr="00A66252">
        <w:rPr>
          <w:szCs w:val="24"/>
          <w:lang w:val="fr-FR" w:eastAsia="fr-FR"/>
        </w:rPr>
        <w:t xml:space="preserve">de renvoi </w:t>
      </w:r>
      <w:r w:rsidR="00A16B4C" w:rsidRPr="00A66252">
        <w:rPr>
          <w:szCs w:val="24"/>
          <w:lang w:val="fr-FR" w:eastAsia="fr-FR"/>
        </w:rPr>
        <w:t>; il ne s</w:t>
      </w:r>
      <w:r w:rsidR="00A66252" w:rsidRPr="00A66252">
        <w:rPr>
          <w:szCs w:val="24"/>
          <w:lang w:val="fr-FR" w:eastAsia="fr-FR"/>
        </w:rPr>
        <w:t>’</w:t>
      </w:r>
      <w:r w:rsidR="00A16B4C" w:rsidRPr="00A66252">
        <w:rPr>
          <w:szCs w:val="24"/>
          <w:lang w:val="fr-FR" w:eastAsia="fr-FR"/>
        </w:rPr>
        <w:t xml:space="preserve">agit </w:t>
      </w:r>
      <w:r w:rsidR="00DC4284" w:rsidRPr="00A66252">
        <w:rPr>
          <w:szCs w:val="24"/>
          <w:lang w:val="fr-FR" w:eastAsia="fr-FR"/>
        </w:rPr>
        <w:t xml:space="preserve">pas, </w:t>
      </w:r>
      <w:r w:rsidR="00A16B4C" w:rsidRPr="00A66252">
        <w:rPr>
          <w:szCs w:val="24"/>
          <w:lang w:val="fr-FR" w:eastAsia="fr-FR"/>
        </w:rPr>
        <w:t>en effet</w:t>
      </w:r>
      <w:r w:rsidR="00DC4284" w:rsidRPr="00A66252">
        <w:rPr>
          <w:szCs w:val="24"/>
          <w:lang w:val="fr-FR" w:eastAsia="fr-FR"/>
        </w:rPr>
        <w:t>,</w:t>
      </w:r>
      <w:r w:rsidR="00A16B4C" w:rsidRPr="00A66252">
        <w:rPr>
          <w:szCs w:val="24"/>
          <w:lang w:val="fr-FR" w:eastAsia="fr-FR"/>
        </w:rPr>
        <w:t xml:space="preserve"> de savoir si les </w:t>
      </w:r>
      <w:r w:rsidR="00B010D1" w:rsidRPr="00A66252">
        <w:rPr>
          <w:szCs w:val="24"/>
          <w:lang w:val="fr-FR" w:eastAsia="fr-FR"/>
        </w:rPr>
        <w:t>soins</w:t>
      </w:r>
      <w:r w:rsidR="00A16B4C" w:rsidRPr="00A66252">
        <w:rPr>
          <w:szCs w:val="24"/>
          <w:lang w:val="fr-FR" w:eastAsia="fr-FR"/>
        </w:rPr>
        <w:t xml:space="preserve"> dans </w:t>
      </w:r>
      <w:r w:rsidR="00DC4284" w:rsidRPr="00A66252">
        <w:rPr>
          <w:szCs w:val="24"/>
          <w:lang w:val="fr-FR" w:eastAsia="fr-FR"/>
        </w:rPr>
        <w:t>l</w:t>
      </w:r>
      <w:r w:rsidR="00A66252" w:rsidRPr="00A66252">
        <w:rPr>
          <w:szCs w:val="24"/>
          <w:lang w:val="fr-FR" w:eastAsia="fr-FR"/>
        </w:rPr>
        <w:t>’</w:t>
      </w:r>
      <w:r w:rsidR="00800622" w:rsidRPr="00A66252">
        <w:rPr>
          <w:szCs w:val="24"/>
          <w:lang w:val="fr-FR" w:eastAsia="fr-FR"/>
        </w:rPr>
        <w:t>É</w:t>
      </w:r>
      <w:r w:rsidR="00DC4284" w:rsidRPr="00A66252">
        <w:rPr>
          <w:szCs w:val="24"/>
          <w:lang w:val="fr-FR" w:eastAsia="fr-FR"/>
        </w:rPr>
        <w:t xml:space="preserve">tat </w:t>
      </w:r>
      <w:r w:rsidR="00A16B4C" w:rsidRPr="00A66252">
        <w:rPr>
          <w:szCs w:val="24"/>
          <w:lang w:val="fr-FR" w:eastAsia="fr-FR"/>
        </w:rPr>
        <w:t>de destination seront équivalents ou inférieurs à ceux qu</w:t>
      </w:r>
      <w:r w:rsidR="00A66252" w:rsidRPr="00A66252">
        <w:rPr>
          <w:szCs w:val="24"/>
          <w:lang w:val="fr-FR" w:eastAsia="fr-FR"/>
        </w:rPr>
        <w:t>’</w:t>
      </w:r>
      <w:r w:rsidR="00A16B4C" w:rsidRPr="00A66252">
        <w:rPr>
          <w:szCs w:val="24"/>
          <w:lang w:val="fr-FR" w:eastAsia="fr-FR"/>
        </w:rPr>
        <w:t xml:space="preserve">offre le système de santé de </w:t>
      </w:r>
      <w:r w:rsidR="00DC4284" w:rsidRPr="00A66252">
        <w:rPr>
          <w:szCs w:val="24"/>
          <w:lang w:val="fr-FR" w:eastAsia="fr-FR"/>
        </w:rPr>
        <w:t>l</w:t>
      </w:r>
      <w:r w:rsidR="00A66252" w:rsidRPr="00A66252">
        <w:rPr>
          <w:szCs w:val="24"/>
          <w:lang w:val="fr-FR" w:eastAsia="fr-FR"/>
        </w:rPr>
        <w:t>’</w:t>
      </w:r>
      <w:r w:rsidR="0088072A" w:rsidRPr="00A66252">
        <w:rPr>
          <w:szCs w:val="24"/>
          <w:lang w:val="fr-FR" w:eastAsia="fr-FR"/>
        </w:rPr>
        <w:t>État</w:t>
      </w:r>
      <w:r w:rsidR="00DC4284" w:rsidRPr="00A66252">
        <w:rPr>
          <w:szCs w:val="24"/>
          <w:lang w:val="fr-FR" w:eastAsia="fr-FR"/>
        </w:rPr>
        <w:t xml:space="preserve"> de renvoi</w:t>
      </w:r>
      <w:r w:rsidR="00A16B4C" w:rsidRPr="00A66252">
        <w:rPr>
          <w:szCs w:val="24"/>
          <w:lang w:val="fr-FR" w:eastAsia="fr-FR"/>
        </w:rPr>
        <w:t xml:space="preserve">. </w:t>
      </w:r>
      <w:r w:rsidR="00792530" w:rsidRPr="00A66252">
        <w:rPr>
          <w:szCs w:val="24"/>
          <w:lang w:val="fr-FR" w:eastAsia="fr-FR"/>
        </w:rPr>
        <w:t xml:space="preserve">Il ne saurait pas non plus être </w:t>
      </w:r>
      <w:r w:rsidR="00DC4284" w:rsidRPr="00A66252">
        <w:rPr>
          <w:szCs w:val="24"/>
          <w:lang w:val="fr-FR" w:eastAsia="fr-FR"/>
        </w:rPr>
        <w:t xml:space="preserve">déduit </w:t>
      </w:r>
      <w:r w:rsidR="00792530" w:rsidRPr="00A66252">
        <w:rPr>
          <w:szCs w:val="24"/>
          <w:lang w:val="fr-FR" w:eastAsia="fr-FR"/>
        </w:rPr>
        <w:t>de l</w:t>
      </w:r>
      <w:r w:rsidR="00A66252" w:rsidRPr="00A66252">
        <w:rPr>
          <w:szCs w:val="24"/>
          <w:lang w:val="fr-FR" w:eastAsia="fr-FR"/>
        </w:rPr>
        <w:t>’</w:t>
      </w:r>
      <w:r w:rsidR="00792530" w:rsidRPr="00A66252">
        <w:rPr>
          <w:szCs w:val="24"/>
          <w:lang w:val="fr-FR" w:eastAsia="fr-FR"/>
        </w:rPr>
        <w:t xml:space="preserve">article 3 </w:t>
      </w:r>
      <w:r w:rsidR="00DC4284" w:rsidRPr="00A66252">
        <w:rPr>
          <w:szCs w:val="24"/>
          <w:lang w:val="fr-FR" w:eastAsia="fr-FR"/>
        </w:rPr>
        <w:t xml:space="preserve">un </w:t>
      </w:r>
      <w:r w:rsidR="00792530" w:rsidRPr="00A66252">
        <w:rPr>
          <w:szCs w:val="24"/>
          <w:lang w:val="fr-FR" w:eastAsia="fr-FR"/>
        </w:rPr>
        <w:t>droit à bénéficier dans l</w:t>
      </w:r>
      <w:r w:rsidR="00A66252" w:rsidRPr="00A66252">
        <w:rPr>
          <w:szCs w:val="24"/>
          <w:lang w:val="fr-FR" w:eastAsia="fr-FR"/>
        </w:rPr>
        <w:t>’</w:t>
      </w:r>
      <w:r w:rsidR="00792530" w:rsidRPr="00A66252">
        <w:rPr>
          <w:szCs w:val="24"/>
          <w:lang w:val="fr-FR" w:eastAsia="fr-FR"/>
        </w:rPr>
        <w:t>État de destination d</w:t>
      </w:r>
      <w:r w:rsidR="00A66252" w:rsidRPr="00A66252">
        <w:rPr>
          <w:szCs w:val="24"/>
          <w:lang w:val="fr-FR" w:eastAsia="fr-FR"/>
        </w:rPr>
        <w:t>’</w:t>
      </w:r>
      <w:r w:rsidR="00792530" w:rsidRPr="00A66252">
        <w:rPr>
          <w:szCs w:val="24"/>
          <w:lang w:val="fr-FR" w:eastAsia="fr-FR"/>
        </w:rPr>
        <w:t>un traitement particulier qui ne serait pas disponible pour le reste de la population.</w:t>
      </w:r>
    </w:p>
    <w:p w:rsidR="00F830E6" w:rsidRPr="00A66252" w:rsidRDefault="00EC74CA" w:rsidP="00A66252">
      <w:pPr>
        <w:pStyle w:val="ECHRPara"/>
        <w:rPr>
          <w:lang w:val="fr-FR"/>
        </w:rPr>
      </w:pPr>
      <w:r w:rsidRPr="00A66252">
        <w:rPr>
          <w:szCs w:val="24"/>
          <w:lang w:val="fr-FR" w:eastAsia="fr-FR"/>
        </w:rPr>
        <w:fldChar w:fldCharType="begin"/>
      </w:r>
      <w:r w:rsidRPr="00A66252">
        <w:rPr>
          <w:szCs w:val="24"/>
          <w:lang w:val="fr-FR" w:eastAsia="fr-FR"/>
        </w:rPr>
        <w:instrText xml:space="preserve"> SEQ level0 \*arabic </w:instrText>
      </w:r>
      <w:r w:rsidRPr="00A66252">
        <w:rPr>
          <w:szCs w:val="24"/>
          <w:lang w:val="fr-FR" w:eastAsia="fr-FR"/>
        </w:rPr>
        <w:fldChar w:fldCharType="separate"/>
      </w:r>
      <w:r w:rsidR="00A66252" w:rsidRPr="00A66252">
        <w:rPr>
          <w:noProof/>
          <w:szCs w:val="24"/>
          <w:lang w:val="fr-FR" w:eastAsia="fr-FR"/>
        </w:rPr>
        <w:t>190</w:t>
      </w:r>
      <w:r w:rsidRPr="00A66252">
        <w:rPr>
          <w:szCs w:val="24"/>
          <w:lang w:val="fr-FR" w:eastAsia="fr-FR"/>
        </w:rPr>
        <w:fldChar w:fldCharType="end"/>
      </w:r>
      <w:r w:rsidRPr="00A66252">
        <w:rPr>
          <w:szCs w:val="24"/>
          <w:lang w:val="fr-FR" w:eastAsia="fr-FR"/>
        </w:rPr>
        <w:t>.  </w:t>
      </w:r>
      <w:r w:rsidR="00354CB5" w:rsidRPr="00A66252">
        <w:rPr>
          <w:szCs w:val="24"/>
          <w:lang w:val="fr-FR" w:eastAsia="fr-FR"/>
        </w:rPr>
        <w:t>Les</w:t>
      </w:r>
      <w:r w:rsidR="00A345F7" w:rsidRPr="00A66252">
        <w:rPr>
          <w:szCs w:val="24"/>
          <w:lang w:val="fr-FR" w:eastAsia="fr-FR"/>
        </w:rPr>
        <w:t xml:space="preserve"> autorités </w:t>
      </w:r>
      <w:r w:rsidR="003A1FDD" w:rsidRPr="00A66252">
        <w:rPr>
          <w:szCs w:val="24"/>
          <w:lang w:val="fr-FR" w:eastAsia="fr-FR"/>
        </w:rPr>
        <w:t>doivent</w:t>
      </w:r>
      <w:r w:rsidR="00AF6B5B" w:rsidRPr="00A66252">
        <w:rPr>
          <w:szCs w:val="24"/>
          <w:lang w:val="fr-FR" w:eastAsia="fr-FR"/>
        </w:rPr>
        <w:t xml:space="preserve"> aussi</w:t>
      </w:r>
      <w:r w:rsidR="003A1FDD" w:rsidRPr="00A66252">
        <w:rPr>
          <w:szCs w:val="24"/>
          <w:lang w:val="fr-FR" w:eastAsia="fr-FR"/>
        </w:rPr>
        <w:t xml:space="preserve"> </w:t>
      </w:r>
      <w:r w:rsidR="00B430D0" w:rsidRPr="00A66252">
        <w:rPr>
          <w:szCs w:val="24"/>
          <w:lang w:val="fr-FR" w:eastAsia="fr-FR"/>
        </w:rPr>
        <w:t>s</w:t>
      </w:r>
      <w:r w:rsidR="00A66252" w:rsidRPr="00A66252">
        <w:rPr>
          <w:szCs w:val="24"/>
          <w:lang w:val="fr-FR" w:eastAsia="fr-FR"/>
        </w:rPr>
        <w:t>’</w:t>
      </w:r>
      <w:r w:rsidR="00B430D0" w:rsidRPr="00A66252">
        <w:rPr>
          <w:szCs w:val="24"/>
          <w:lang w:val="fr-FR" w:eastAsia="fr-FR"/>
        </w:rPr>
        <w:t>interroger sur l</w:t>
      </w:r>
      <w:r w:rsidR="00A05F2D" w:rsidRPr="00A66252">
        <w:rPr>
          <w:szCs w:val="24"/>
          <w:lang w:val="fr-FR" w:eastAsia="fr-FR"/>
        </w:rPr>
        <w:t xml:space="preserve">a possibilité </w:t>
      </w:r>
      <w:r w:rsidR="003A1FDD" w:rsidRPr="00A66252">
        <w:rPr>
          <w:szCs w:val="24"/>
          <w:lang w:val="fr-FR" w:eastAsia="fr-FR"/>
        </w:rPr>
        <w:t xml:space="preserve">effective </w:t>
      </w:r>
      <w:r w:rsidR="00A05F2D" w:rsidRPr="00A66252">
        <w:rPr>
          <w:szCs w:val="24"/>
          <w:lang w:val="fr-FR" w:eastAsia="fr-FR"/>
        </w:rPr>
        <w:t>pour l</w:t>
      </w:r>
      <w:r w:rsidR="00A66252" w:rsidRPr="00A66252">
        <w:rPr>
          <w:szCs w:val="24"/>
          <w:lang w:val="fr-FR" w:eastAsia="fr-FR"/>
        </w:rPr>
        <w:t>’</w:t>
      </w:r>
      <w:r w:rsidR="00A05F2D" w:rsidRPr="00A66252">
        <w:rPr>
          <w:szCs w:val="24"/>
          <w:lang w:val="fr-FR" w:eastAsia="fr-FR"/>
        </w:rPr>
        <w:t>intéressé d</w:t>
      </w:r>
      <w:r w:rsidR="00A66252" w:rsidRPr="00A66252">
        <w:rPr>
          <w:szCs w:val="24"/>
          <w:lang w:val="fr-FR" w:eastAsia="fr-FR"/>
        </w:rPr>
        <w:t>’</w:t>
      </w:r>
      <w:r w:rsidR="00A05F2D" w:rsidRPr="00A66252">
        <w:rPr>
          <w:szCs w:val="24"/>
          <w:lang w:val="fr-FR" w:eastAsia="fr-FR"/>
        </w:rPr>
        <w:t xml:space="preserve">avoir accès </w:t>
      </w:r>
      <w:r w:rsidR="00F76A4A" w:rsidRPr="00A66252">
        <w:rPr>
          <w:szCs w:val="24"/>
          <w:lang w:val="fr-FR" w:eastAsia="fr-FR"/>
        </w:rPr>
        <w:t xml:space="preserve">à ces </w:t>
      </w:r>
      <w:r w:rsidR="00A16B4C" w:rsidRPr="00A66252">
        <w:rPr>
          <w:szCs w:val="24"/>
          <w:lang w:val="fr-FR" w:eastAsia="fr-FR"/>
        </w:rPr>
        <w:t xml:space="preserve">soins </w:t>
      </w:r>
      <w:r w:rsidR="003A1FDD" w:rsidRPr="00A66252">
        <w:rPr>
          <w:szCs w:val="24"/>
          <w:lang w:val="fr-FR" w:eastAsia="fr-FR"/>
        </w:rPr>
        <w:t>et équipements dans l</w:t>
      </w:r>
      <w:r w:rsidR="00A66252" w:rsidRPr="00A66252">
        <w:rPr>
          <w:szCs w:val="24"/>
          <w:lang w:val="fr-FR" w:eastAsia="fr-FR"/>
        </w:rPr>
        <w:t>’</w:t>
      </w:r>
      <w:r w:rsidR="00556C9B" w:rsidRPr="00A66252">
        <w:rPr>
          <w:szCs w:val="24"/>
          <w:lang w:val="fr-FR" w:eastAsia="fr-FR"/>
        </w:rPr>
        <w:t>É</w:t>
      </w:r>
      <w:r w:rsidR="003A1FDD" w:rsidRPr="00A66252">
        <w:rPr>
          <w:szCs w:val="24"/>
          <w:lang w:val="fr-FR" w:eastAsia="fr-FR"/>
        </w:rPr>
        <w:t xml:space="preserve">tat </w:t>
      </w:r>
      <w:r w:rsidR="00A16B4C" w:rsidRPr="00A66252">
        <w:rPr>
          <w:szCs w:val="24"/>
          <w:lang w:val="fr-FR" w:eastAsia="fr-FR"/>
        </w:rPr>
        <w:t>de destination</w:t>
      </w:r>
      <w:r w:rsidR="00A05F2D" w:rsidRPr="00A66252">
        <w:rPr>
          <w:szCs w:val="24"/>
          <w:lang w:val="fr-FR" w:eastAsia="fr-FR"/>
        </w:rPr>
        <w:t>.</w:t>
      </w:r>
      <w:r w:rsidR="00A16B4C" w:rsidRPr="00A66252">
        <w:rPr>
          <w:szCs w:val="24"/>
          <w:lang w:val="fr-FR" w:eastAsia="fr-FR"/>
        </w:rPr>
        <w:t xml:space="preserve"> </w:t>
      </w:r>
      <w:r w:rsidR="00C130CF" w:rsidRPr="00A66252">
        <w:rPr>
          <w:szCs w:val="24"/>
          <w:lang w:val="fr-FR" w:eastAsia="fr-FR"/>
        </w:rPr>
        <w:t>À</w:t>
      </w:r>
      <w:r w:rsidR="003A1FDD" w:rsidRPr="00A66252">
        <w:rPr>
          <w:szCs w:val="24"/>
          <w:lang w:val="fr-FR" w:eastAsia="fr-FR"/>
        </w:rPr>
        <w:t xml:space="preserve"> cet égard, l</w:t>
      </w:r>
      <w:r w:rsidR="00423DF4" w:rsidRPr="00A66252">
        <w:rPr>
          <w:szCs w:val="24"/>
          <w:lang w:val="fr-FR" w:eastAsia="fr-FR"/>
        </w:rPr>
        <w:t xml:space="preserve">a </w:t>
      </w:r>
      <w:r w:rsidR="00042915" w:rsidRPr="00A66252">
        <w:rPr>
          <w:szCs w:val="24"/>
          <w:lang w:val="fr-FR" w:eastAsia="fr-FR"/>
        </w:rPr>
        <w:t>Cour rappelle qu</w:t>
      </w:r>
      <w:r w:rsidR="00A66252" w:rsidRPr="00A66252">
        <w:rPr>
          <w:szCs w:val="24"/>
          <w:lang w:val="fr-FR" w:eastAsia="fr-FR"/>
        </w:rPr>
        <w:t>’</w:t>
      </w:r>
      <w:r w:rsidR="00B87C63" w:rsidRPr="00A66252">
        <w:rPr>
          <w:szCs w:val="24"/>
          <w:lang w:val="fr-FR" w:eastAsia="fr-FR"/>
        </w:rPr>
        <w:t xml:space="preserve">elle a </w:t>
      </w:r>
      <w:r w:rsidR="00A9662D" w:rsidRPr="00A66252">
        <w:rPr>
          <w:szCs w:val="24"/>
          <w:lang w:val="fr-FR" w:eastAsia="fr-FR"/>
        </w:rPr>
        <w:t>déjà</w:t>
      </w:r>
      <w:r w:rsidR="00B87C63" w:rsidRPr="00A66252">
        <w:rPr>
          <w:szCs w:val="24"/>
          <w:lang w:val="fr-FR" w:eastAsia="fr-FR"/>
        </w:rPr>
        <w:t xml:space="preserve"> </w:t>
      </w:r>
      <w:r w:rsidR="00F76A4A" w:rsidRPr="00A66252">
        <w:rPr>
          <w:szCs w:val="24"/>
          <w:lang w:val="fr-FR" w:eastAsia="fr-FR"/>
        </w:rPr>
        <w:t xml:space="preserve">examiné </w:t>
      </w:r>
      <w:r w:rsidR="00B87C63" w:rsidRPr="00A66252">
        <w:rPr>
          <w:szCs w:val="24"/>
          <w:lang w:val="fr-FR" w:eastAsia="fr-FR"/>
        </w:rPr>
        <w:lastRenderedPageBreak/>
        <w:t>l</w:t>
      </w:r>
      <w:r w:rsidR="00A66252" w:rsidRPr="00A66252">
        <w:rPr>
          <w:szCs w:val="24"/>
          <w:lang w:val="fr-FR" w:eastAsia="fr-FR"/>
        </w:rPr>
        <w:t>’</w:t>
      </w:r>
      <w:r w:rsidR="00B87C63" w:rsidRPr="00A66252">
        <w:rPr>
          <w:szCs w:val="24"/>
          <w:lang w:val="fr-FR" w:eastAsia="fr-FR"/>
        </w:rPr>
        <w:t xml:space="preserve">accessibilité des soins </w:t>
      </w:r>
      <w:r w:rsidR="00BF05C2" w:rsidRPr="00A66252">
        <w:rPr>
          <w:szCs w:val="24"/>
          <w:lang w:val="fr-FR" w:eastAsia="fr-FR"/>
        </w:rPr>
        <w:t>(</w:t>
      </w:r>
      <w:proofErr w:type="spellStart"/>
      <w:r w:rsidR="00BF05C2" w:rsidRPr="00A66252">
        <w:rPr>
          <w:i/>
          <w:lang w:val="fr-FR"/>
        </w:rPr>
        <w:t>Aswat</w:t>
      </w:r>
      <w:proofErr w:type="spellEnd"/>
      <w:r w:rsidR="00BF05C2" w:rsidRPr="00A66252">
        <w:rPr>
          <w:lang w:val="fr-FR"/>
        </w:rPr>
        <w:t>, précité, § 55</w:t>
      </w:r>
      <w:r w:rsidR="0070426D" w:rsidRPr="00A66252">
        <w:rPr>
          <w:lang w:val="fr-FR"/>
        </w:rPr>
        <w:t>,</w:t>
      </w:r>
      <w:r w:rsidR="00BF05C2" w:rsidRPr="00A66252">
        <w:rPr>
          <w:lang w:val="fr-FR"/>
        </w:rPr>
        <w:t xml:space="preserve"> et </w:t>
      </w:r>
      <w:r w:rsidR="00BF05C2" w:rsidRPr="00A66252">
        <w:rPr>
          <w:i/>
          <w:lang w:val="fr-FR"/>
        </w:rPr>
        <w:t>Tatar</w:t>
      </w:r>
      <w:r w:rsidR="0070474E" w:rsidRPr="00A66252">
        <w:rPr>
          <w:lang w:val="fr-FR"/>
        </w:rPr>
        <w:t xml:space="preserve">, précité, </w:t>
      </w:r>
      <w:r w:rsidR="00BF05C2" w:rsidRPr="00A66252">
        <w:rPr>
          <w:lang w:val="fr-FR"/>
        </w:rPr>
        <w:t xml:space="preserve">§§ </w:t>
      </w:r>
      <w:r w:rsidR="0070426D" w:rsidRPr="00A66252">
        <w:rPr>
          <w:lang w:val="fr-FR"/>
        </w:rPr>
        <w:t>47-</w:t>
      </w:r>
      <w:r w:rsidR="00BF05C2" w:rsidRPr="00A66252">
        <w:rPr>
          <w:lang w:val="fr-FR"/>
        </w:rPr>
        <w:t xml:space="preserve">49) et </w:t>
      </w:r>
      <w:r w:rsidR="002D73B9" w:rsidRPr="00A66252">
        <w:rPr>
          <w:szCs w:val="24"/>
          <w:lang w:val="fr-FR" w:eastAsia="fr-FR"/>
        </w:rPr>
        <w:t>évoqué</w:t>
      </w:r>
      <w:r w:rsidR="00B87C63" w:rsidRPr="00A66252">
        <w:rPr>
          <w:szCs w:val="24"/>
          <w:lang w:val="fr-FR" w:eastAsia="fr-FR"/>
        </w:rPr>
        <w:t xml:space="preserve"> </w:t>
      </w:r>
      <w:r w:rsidR="00FC2031" w:rsidRPr="00A66252">
        <w:rPr>
          <w:szCs w:val="24"/>
          <w:lang w:val="fr-FR" w:eastAsia="fr-FR"/>
        </w:rPr>
        <w:t>la prise</w:t>
      </w:r>
      <w:r w:rsidR="00FF5034" w:rsidRPr="00A66252">
        <w:rPr>
          <w:szCs w:val="24"/>
          <w:lang w:val="fr-FR" w:eastAsia="fr-FR"/>
        </w:rPr>
        <w:t xml:space="preserve"> en considération</w:t>
      </w:r>
      <w:r w:rsidR="0070474E" w:rsidRPr="00A66252">
        <w:rPr>
          <w:szCs w:val="24"/>
          <w:lang w:val="fr-FR" w:eastAsia="fr-FR"/>
        </w:rPr>
        <w:t xml:space="preserve"> </w:t>
      </w:r>
      <w:r w:rsidR="00FC2031" w:rsidRPr="00A66252">
        <w:rPr>
          <w:szCs w:val="24"/>
          <w:lang w:val="fr-FR" w:eastAsia="fr-FR"/>
        </w:rPr>
        <w:t>du</w:t>
      </w:r>
      <w:r w:rsidR="00B87C63" w:rsidRPr="00A66252">
        <w:rPr>
          <w:szCs w:val="24"/>
          <w:lang w:val="fr-FR" w:eastAsia="fr-FR"/>
        </w:rPr>
        <w:t xml:space="preserve"> coût des</w:t>
      </w:r>
      <w:r w:rsidR="00105220" w:rsidRPr="00A66252">
        <w:rPr>
          <w:szCs w:val="24"/>
          <w:lang w:val="fr-FR" w:eastAsia="fr-FR"/>
        </w:rPr>
        <w:t xml:space="preserve"> médicaments et traitements, </w:t>
      </w:r>
      <w:r w:rsidR="00C13DF9" w:rsidRPr="00A66252">
        <w:rPr>
          <w:szCs w:val="24"/>
          <w:lang w:val="fr-FR" w:eastAsia="fr-FR"/>
        </w:rPr>
        <w:t>l</w:t>
      </w:r>
      <w:r w:rsidR="00A66252" w:rsidRPr="00A66252">
        <w:rPr>
          <w:szCs w:val="24"/>
          <w:lang w:val="fr-FR" w:eastAsia="fr-FR"/>
        </w:rPr>
        <w:t>’</w:t>
      </w:r>
      <w:r w:rsidR="00C13DF9" w:rsidRPr="00A66252">
        <w:rPr>
          <w:szCs w:val="24"/>
          <w:lang w:val="fr-FR" w:eastAsia="fr-FR"/>
        </w:rPr>
        <w:t>existence d</w:t>
      </w:r>
      <w:r w:rsidR="00A66252" w:rsidRPr="00A66252">
        <w:rPr>
          <w:szCs w:val="24"/>
          <w:lang w:val="fr-FR" w:eastAsia="fr-FR"/>
        </w:rPr>
        <w:t>’</w:t>
      </w:r>
      <w:r w:rsidR="00C13DF9" w:rsidRPr="00A66252">
        <w:rPr>
          <w:szCs w:val="24"/>
          <w:lang w:val="fr-FR" w:eastAsia="fr-FR"/>
        </w:rPr>
        <w:t xml:space="preserve">un réseau social et familial, </w:t>
      </w:r>
      <w:r w:rsidR="00105220" w:rsidRPr="00A66252">
        <w:rPr>
          <w:szCs w:val="24"/>
          <w:lang w:val="fr-FR" w:eastAsia="fr-FR"/>
        </w:rPr>
        <w:t>et</w:t>
      </w:r>
      <w:r w:rsidR="00B87C63" w:rsidRPr="00A66252">
        <w:rPr>
          <w:szCs w:val="24"/>
          <w:lang w:val="fr-FR" w:eastAsia="fr-FR"/>
        </w:rPr>
        <w:t xml:space="preserve"> la distance géographique pour accéder aux soins requis (</w:t>
      </w:r>
      <w:proofErr w:type="spellStart"/>
      <w:r w:rsidR="002D73B9" w:rsidRPr="00A66252">
        <w:rPr>
          <w:i/>
          <w:lang w:val="fr-FR"/>
        </w:rPr>
        <w:t>Karagoz</w:t>
      </w:r>
      <w:proofErr w:type="spellEnd"/>
      <w:r w:rsidR="002D73B9" w:rsidRPr="00A66252">
        <w:rPr>
          <w:i/>
          <w:lang w:val="fr-FR"/>
        </w:rPr>
        <w:t xml:space="preserve"> c. </w:t>
      </w:r>
      <w:r w:rsidR="00105220" w:rsidRPr="00A66252">
        <w:rPr>
          <w:i/>
          <w:lang w:val="fr-FR"/>
        </w:rPr>
        <w:t>France</w:t>
      </w:r>
      <w:r w:rsidR="00105220" w:rsidRPr="00A66252">
        <w:rPr>
          <w:lang w:val="fr-FR"/>
        </w:rPr>
        <w:t xml:space="preserve"> </w:t>
      </w:r>
      <w:r w:rsidR="002D73B9" w:rsidRPr="00A66252">
        <w:rPr>
          <w:lang w:val="fr-FR"/>
        </w:rPr>
        <w:t>(déc.)</w:t>
      </w:r>
      <w:r w:rsidR="00105220" w:rsidRPr="00A66252">
        <w:rPr>
          <w:lang w:val="fr-FR"/>
        </w:rPr>
        <w:t>,</w:t>
      </w:r>
      <w:r w:rsidR="002D73B9" w:rsidRPr="00A66252">
        <w:rPr>
          <w:lang w:val="fr-FR"/>
        </w:rPr>
        <w:t xml:space="preserve"> n</w:t>
      </w:r>
      <w:r w:rsidR="009472B8" w:rsidRPr="00A66252">
        <w:rPr>
          <w:vertAlign w:val="superscript"/>
          <w:lang w:val="fr-FR"/>
        </w:rPr>
        <w:t>o</w:t>
      </w:r>
      <w:r w:rsidR="002D73B9" w:rsidRPr="00A66252">
        <w:rPr>
          <w:lang w:val="fr-FR"/>
        </w:rPr>
        <w:t xml:space="preserve"> 47531/99, 15</w:t>
      </w:r>
      <w:r w:rsidR="00B32D6C" w:rsidRPr="00A66252">
        <w:rPr>
          <w:lang w:val="fr-FR"/>
        </w:rPr>
        <w:t> </w:t>
      </w:r>
      <w:r w:rsidR="002D73B9" w:rsidRPr="00A66252">
        <w:rPr>
          <w:lang w:val="fr-FR"/>
        </w:rPr>
        <w:t xml:space="preserve">novembre 2001, </w:t>
      </w:r>
      <w:r w:rsidR="00042915" w:rsidRPr="00A66252">
        <w:rPr>
          <w:i/>
          <w:szCs w:val="24"/>
          <w:lang w:val="fr-FR" w:eastAsia="fr-FR"/>
        </w:rPr>
        <w:t>N.</w:t>
      </w:r>
      <w:r w:rsidR="00963A36" w:rsidRPr="00A66252">
        <w:rPr>
          <w:i/>
          <w:szCs w:val="24"/>
          <w:lang w:val="fr-FR" w:eastAsia="fr-FR"/>
        </w:rPr>
        <w:t xml:space="preserve"> c. </w:t>
      </w:r>
      <w:r w:rsidR="00567EBD" w:rsidRPr="00A66252">
        <w:rPr>
          <w:i/>
          <w:szCs w:val="24"/>
          <w:lang w:val="fr-FR" w:eastAsia="fr-FR"/>
        </w:rPr>
        <w:t>Royaume-Uni</w:t>
      </w:r>
      <w:r w:rsidR="00567EBD" w:rsidRPr="00A66252">
        <w:rPr>
          <w:lang w:val="fr-FR"/>
        </w:rPr>
        <w:t xml:space="preserve">, </w:t>
      </w:r>
      <w:r w:rsidR="00B87C63" w:rsidRPr="00A66252">
        <w:rPr>
          <w:lang w:val="fr-FR"/>
        </w:rPr>
        <w:t>précité, §</w:t>
      </w:r>
      <w:r w:rsidR="002D4F8D" w:rsidRPr="00A66252">
        <w:rPr>
          <w:lang w:val="fr-FR"/>
        </w:rPr>
        <w:t>§ 34-41</w:t>
      </w:r>
      <w:r w:rsidR="00B87C63" w:rsidRPr="00A66252">
        <w:rPr>
          <w:lang w:val="fr-FR"/>
        </w:rPr>
        <w:t xml:space="preserve"> et </w:t>
      </w:r>
      <w:r w:rsidR="00042915" w:rsidRPr="00A66252">
        <w:rPr>
          <w:lang w:val="fr-FR"/>
        </w:rPr>
        <w:t>références ci</w:t>
      </w:r>
      <w:r w:rsidR="00B87C63" w:rsidRPr="00A66252">
        <w:rPr>
          <w:lang w:val="fr-FR"/>
        </w:rPr>
        <w:t>tées</w:t>
      </w:r>
      <w:r w:rsidR="00C13DF9" w:rsidRPr="00A66252">
        <w:rPr>
          <w:lang w:val="fr-FR"/>
        </w:rPr>
        <w:t xml:space="preserve">, et </w:t>
      </w:r>
      <w:r w:rsidR="00C13DF9" w:rsidRPr="00A66252">
        <w:rPr>
          <w:i/>
          <w:lang w:val="fr-FR"/>
        </w:rPr>
        <w:t>E.O. c. Italie</w:t>
      </w:r>
      <w:r w:rsidR="00C13DF9" w:rsidRPr="00A66252">
        <w:rPr>
          <w:lang w:val="fr-FR"/>
        </w:rPr>
        <w:t xml:space="preserve"> (déc.), </w:t>
      </w:r>
      <w:r w:rsidR="00397383" w:rsidRPr="00A66252">
        <w:rPr>
          <w:lang w:val="fr-FR"/>
        </w:rPr>
        <w:t>précitée</w:t>
      </w:r>
      <w:r w:rsidR="0070474E" w:rsidRPr="00A66252">
        <w:rPr>
          <w:lang w:val="fr-FR"/>
        </w:rPr>
        <w:t>).</w:t>
      </w:r>
    </w:p>
    <w:p w:rsidR="00A66252" w:rsidRPr="00A66252" w:rsidRDefault="00360A7F" w:rsidP="00A66252">
      <w:pPr>
        <w:pStyle w:val="ECHRPara"/>
        <w:rPr>
          <w:rFonts w:ascii="Times New Roman" w:eastAsiaTheme="minorHAnsi" w:hAnsi="Times New Roman" w:cs="Times New Roman"/>
          <w:szCs w:val="24"/>
          <w:lang w:val="fr-FR" w:eastAsia="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191</w:t>
      </w:r>
      <w:r w:rsidRPr="00A66252">
        <w:rPr>
          <w:lang w:val="fr-FR"/>
        </w:rPr>
        <w:fldChar w:fldCharType="end"/>
      </w:r>
      <w:r w:rsidRPr="00A66252">
        <w:rPr>
          <w:lang w:val="fr-FR"/>
        </w:rPr>
        <w:t>.  </w:t>
      </w:r>
      <w:r w:rsidR="00E26108" w:rsidRPr="00A66252">
        <w:rPr>
          <w:lang w:val="fr-FR"/>
        </w:rPr>
        <w:t>D</w:t>
      </w:r>
      <w:r w:rsidRPr="00A66252">
        <w:rPr>
          <w:lang w:val="fr-FR"/>
        </w:rPr>
        <w:t>ans l</w:t>
      </w:r>
      <w:r w:rsidR="00A66252" w:rsidRPr="00A66252">
        <w:rPr>
          <w:lang w:val="fr-FR"/>
        </w:rPr>
        <w:t>’</w:t>
      </w:r>
      <w:r w:rsidRPr="00A66252">
        <w:rPr>
          <w:lang w:val="fr-FR"/>
        </w:rPr>
        <w:t>hypothèse</w:t>
      </w:r>
      <w:r w:rsidR="002B36B4" w:rsidRPr="00A66252">
        <w:rPr>
          <w:lang w:val="fr-FR"/>
        </w:rPr>
        <w:t xml:space="preserve"> où, après </w:t>
      </w:r>
      <w:r w:rsidR="0063745F" w:rsidRPr="00A66252">
        <w:rPr>
          <w:lang w:val="fr-FR"/>
        </w:rPr>
        <w:t>l</w:t>
      </w:r>
      <w:r w:rsidR="00A66252" w:rsidRPr="00A66252">
        <w:rPr>
          <w:lang w:val="fr-FR"/>
        </w:rPr>
        <w:t>’</w:t>
      </w:r>
      <w:r w:rsidR="0063745F" w:rsidRPr="00A66252">
        <w:rPr>
          <w:lang w:val="fr-FR"/>
        </w:rPr>
        <w:t>examen</w:t>
      </w:r>
      <w:r w:rsidR="002B36B4" w:rsidRPr="00A66252">
        <w:rPr>
          <w:lang w:val="fr-FR"/>
        </w:rPr>
        <w:t xml:space="preserve"> </w:t>
      </w:r>
      <w:r w:rsidR="0063745F" w:rsidRPr="00A66252">
        <w:rPr>
          <w:lang w:val="fr-FR"/>
        </w:rPr>
        <w:t>d</w:t>
      </w:r>
      <w:r w:rsidR="002B36B4" w:rsidRPr="00A66252">
        <w:rPr>
          <w:lang w:val="fr-FR"/>
        </w:rPr>
        <w:t>es données de la cause</w:t>
      </w:r>
      <w:r w:rsidR="0063745F" w:rsidRPr="00A66252">
        <w:rPr>
          <w:lang w:val="fr-FR"/>
        </w:rPr>
        <w:t>,</w:t>
      </w:r>
      <w:r w:rsidR="002B36B4" w:rsidRPr="00A66252">
        <w:rPr>
          <w:lang w:val="fr-FR"/>
        </w:rPr>
        <w:t xml:space="preserve"> </w:t>
      </w:r>
      <w:r w:rsidR="0063745F" w:rsidRPr="00A66252">
        <w:rPr>
          <w:rFonts w:ascii="Times New Roman" w:eastAsiaTheme="minorHAnsi" w:hAnsi="Times New Roman" w:cs="Times New Roman"/>
          <w:szCs w:val="24"/>
          <w:lang w:val="fr-FR" w:eastAsia="fr-FR"/>
        </w:rPr>
        <w:t xml:space="preserve">de sérieux doutes persistent </w:t>
      </w:r>
      <w:r w:rsidR="0063745F" w:rsidRPr="00A66252">
        <w:rPr>
          <w:lang w:val="fr-FR"/>
        </w:rPr>
        <w:t xml:space="preserve">quant à </w:t>
      </w:r>
      <w:r w:rsidR="002B7FB0" w:rsidRPr="00A66252">
        <w:rPr>
          <w:lang w:val="fr-FR"/>
        </w:rPr>
        <w:t>l</w:t>
      </w:r>
      <w:r w:rsidR="00A66252" w:rsidRPr="00A66252">
        <w:rPr>
          <w:lang w:val="fr-FR"/>
        </w:rPr>
        <w:t>’</w:t>
      </w:r>
      <w:r w:rsidR="002B7FB0" w:rsidRPr="00A66252">
        <w:rPr>
          <w:lang w:val="fr-FR"/>
        </w:rPr>
        <w:t>impact de l</w:t>
      </w:r>
      <w:r w:rsidR="00A66252" w:rsidRPr="00A66252">
        <w:rPr>
          <w:lang w:val="fr-FR"/>
        </w:rPr>
        <w:t>’</w:t>
      </w:r>
      <w:r w:rsidR="002B7FB0" w:rsidRPr="00A66252">
        <w:rPr>
          <w:lang w:val="fr-FR"/>
        </w:rPr>
        <w:t xml:space="preserve">éloignement sur les </w:t>
      </w:r>
      <w:r w:rsidR="0063745F" w:rsidRPr="00A66252">
        <w:rPr>
          <w:lang w:val="fr-FR"/>
        </w:rPr>
        <w:t>intéressé</w:t>
      </w:r>
      <w:r w:rsidR="002B7FB0" w:rsidRPr="00A66252">
        <w:rPr>
          <w:lang w:val="fr-FR"/>
        </w:rPr>
        <w:t>s</w:t>
      </w:r>
      <w:r w:rsidR="00EE05A3" w:rsidRPr="00A66252">
        <w:rPr>
          <w:lang w:val="fr-FR"/>
        </w:rPr>
        <w:t> </w:t>
      </w:r>
      <w:r w:rsidR="0063745F" w:rsidRPr="00A66252">
        <w:rPr>
          <w:rFonts w:ascii="Times New Roman" w:eastAsiaTheme="minorHAnsi" w:hAnsi="Times New Roman" w:cs="Times New Roman"/>
          <w:szCs w:val="24"/>
          <w:lang w:val="fr-FR" w:eastAsia="fr-FR"/>
        </w:rPr>
        <w:t xml:space="preserve">– en raison de la situation générale </w:t>
      </w:r>
      <w:r w:rsidR="00AC68AE" w:rsidRPr="00A66252">
        <w:rPr>
          <w:rFonts w:ascii="Times New Roman" w:eastAsiaTheme="minorHAnsi" w:hAnsi="Times New Roman" w:cs="Times New Roman"/>
          <w:szCs w:val="24"/>
          <w:lang w:val="fr-FR" w:eastAsia="fr-FR"/>
        </w:rPr>
        <w:t xml:space="preserve">dans </w:t>
      </w:r>
      <w:r w:rsidR="002B7FB0" w:rsidRPr="00A66252">
        <w:rPr>
          <w:rFonts w:ascii="Times New Roman" w:eastAsiaTheme="minorHAnsi" w:hAnsi="Times New Roman" w:cs="Times New Roman"/>
          <w:szCs w:val="24"/>
          <w:lang w:val="fr-FR" w:eastAsia="fr-FR"/>
        </w:rPr>
        <w:t>l</w:t>
      </w:r>
      <w:r w:rsidR="00A66252" w:rsidRPr="00A66252">
        <w:rPr>
          <w:rFonts w:ascii="Times New Roman" w:eastAsiaTheme="minorHAnsi" w:hAnsi="Times New Roman" w:cs="Times New Roman"/>
          <w:szCs w:val="24"/>
          <w:lang w:val="fr-FR" w:eastAsia="fr-FR"/>
        </w:rPr>
        <w:t>’</w:t>
      </w:r>
      <w:r w:rsidR="002B7FB0" w:rsidRPr="00A66252">
        <w:rPr>
          <w:rFonts w:ascii="Times New Roman" w:eastAsiaTheme="minorHAnsi" w:hAnsi="Times New Roman" w:cs="Times New Roman"/>
          <w:szCs w:val="24"/>
          <w:lang w:val="fr-FR" w:eastAsia="fr-FR"/>
        </w:rPr>
        <w:t xml:space="preserve">État </w:t>
      </w:r>
      <w:r w:rsidR="00AC68AE" w:rsidRPr="00A66252">
        <w:rPr>
          <w:rFonts w:ascii="Times New Roman" w:eastAsiaTheme="minorHAnsi" w:hAnsi="Times New Roman" w:cs="Times New Roman"/>
          <w:szCs w:val="24"/>
          <w:lang w:val="fr-FR" w:eastAsia="fr-FR"/>
        </w:rPr>
        <w:t xml:space="preserve">de destination </w:t>
      </w:r>
      <w:r w:rsidR="0063745F" w:rsidRPr="00A66252">
        <w:rPr>
          <w:rFonts w:ascii="Times New Roman" w:eastAsiaTheme="minorHAnsi" w:hAnsi="Times New Roman" w:cs="Times New Roman"/>
          <w:szCs w:val="24"/>
          <w:lang w:val="fr-FR" w:eastAsia="fr-FR"/>
        </w:rPr>
        <w:t xml:space="preserve">et/ou de </w:t>
      </w:r>
      <w:r w:rsidR="002B7FB0" w:rsidRPr="00A66252">
        <w:rPr>
          <w:rFonts w:ascii="Times New Roman" w:eastAsiaTheme="minorHAnsi" w:hAnsi="Times New Roman" w:cs="Times New Roman"/>
          <w:szCs w:val="24"/>
          <w:lang w:val="fr-FR" w:eastAsia="fr-FR"/>
        </w:rPr>
        <w:t>leur</w:t>
      </w:r>
      <w:r w:rsidR="0063745F" w:rsidRPr="00A66252">
        <w:rPr>
          <w:rFonts w:ascii="Times New Roman" w:eastAsiaTheme="minorHAnsi" w:hAnsi="Times New Roman" w:cs="Times New Roman"/>
          <w:szCs w:val="24"/>
          <w:lang w:val="fr-FR" w:eastAsia="fr-FR"/>
        </w:rPr>
        <w:t xml:space="preserve"> situation individuelle</w:t>
      </w:r>
      <w:r w:rsidR="00AC68AE" w:rsidRPr="00A66252">
        <w:rPr>
          <w:rFonts w:ascii="Times New Roman" w:eastAsiaTheme="minorHAnsi" w:hAnsi="Times New Roman" w:cs="Times New Roman"/>
          <w:szCs w:val="24"/>
          <w:lang w:val="fr-FR" w:eastAsia="fr-FR"/>
        </w:rPr>
        <w:t xml:space="preserve"> </w:t>
      </w:r>
      <w:r w:rsidR="0063745F" w:rsidRPr="00A66252">
        <w:rPr>
          <w:rFonts w:ascii="Times New Roman" w:eastAsiaTheme="minorHAnsi" w:hAnsi="Times New Roman" w:cs="Times New Roman"/>
          <w:szCs w:val="24"/>
          <w:lang w:val="fr-FR" w:eastAsia="fr-FR"/>
        </w:rPr>
        <w:t>–</w:t>
      </w:r>
      <w:r w:rsidR="003A1FDD" w:rsidRPr="00A66252">
        <w:rPr>
          <w:rFonts w:ascii="Times New Roman" w:eastAsiaTheme="minorHAnsi" w:hAnsi="Times New Roman" w:cs="Times New Roman"/>
          <w:szCs w:val="24"/>
          <w:lang w:val="fr-FR" w:eastAsia="fr-FR"/>
        </w:rPr>
        <w:t xml:space="preserve"> </w:t>
      </w:r>
      <w:r w:rsidR="0063745F" w:rsidRPr="00A66252">
        <w:rPr>
          <w:rFonts w:ascii="Times New Roman" w:eastAsiaTheme="minorHAnsi" w:hAnsi="Times New Roman" w:cs="Times New Roman"/>
          <w:szCs w:val="24"/>
          <w:lang w:val="fr-FR" w:eastAsia="fr-FR"/>
        </w:rPr>
        <w:t xml:space="preserve">il appartient </w:t>
      </w:r>
      <w:r w:rsidR="00E13752" w:rsidRPr="00A66252">
        <w:rPr>
          <w:rFonts w:ascii="Times New Roman" w:eastAsiaTheme="minorHAnsi" w:hAnsi="Times New Roman" w:cs="Times New Roman"/>
          <w:szCs w:val="24"/>
          <w:lang w:val="fr-FR" w:eastAsia="fr-FR"/>
        </w:rPr>
        <w:t>à l</w:t>
      </w:r>
      <w:r w:rsidR="00A66252" w:rsidRPr="00A66252">
        <w:rPr>
          <w:rFonts w:ascii="Times New Roman" w:eastAsiaTheme="minorHAnsi" w:hAnsi="Times New Roman" w:cs="Times New Roman"/>
          <w:szCs w:val="24"/>
          <w:lang w:val="fr-FR" w:eastAsia="fr-FR"/>
        </w:rPr>
        <w:t>’</w:t>
      </w:r>
      <w:r w:rsidR="00E13752" w:rsidRPr="00A66252">
        <w:rPr>
          <w:rFonts w:ascii="Times New Roman" w:eastAsiaTheme="minorHAnsi" w:hAnsi="Times New Roman" w:cs="Times New Roman"/>
          <w:szCs w:val="24"/>
          <w:lang w:val="fr-FR" w:eastAsia="fr-FR"/>
        </w:rPr>
        <w:t>État de renvoi</w:t>
      </w:r>
      <w:r w:rsidR="0063745F" w:rsidRPr="00A66252">
        <w:rPr>
          <w:rFonts w:ascii="Times New Roman" w:eastAsiaTheme="minorHAnsi" w:hAnsi="Times New Roman" w:cs="Times New Roman"/>
          <w:szCs w:val="24"/>
          <w:lang w:val="fr-FR" w:eastAsia="fr-FR"/>
        </w:rPr>
        <w:t xml:space="preserve"> d</w:t>
      </w:r>
      <w:r w:rsidR="00A66252" w:rsidRPr="00A66252">
        <w:rPr>
          <w:rFonts w:ascii="Times New Roman" w:eastAsiaTheme="minorHAnsi" w:hAnsi="Times New Roman" w:cs="Times New Roman"/>
          <w:szCs w:val="24"/>
          <w:lang w:val="fr-FR" w:eastAsia="fr-FR"/>
        </w:rPr>
        <w:t>’</w:t>
      </w:r>
      <w:r w:rsidR="00E13752" w:rsidRPr="00A66252">
        <w:rPr>
          <w:rFonts w:ascii="Times New Roman" w:eastAsiaTheme="minorHAnsi" w:hAnsi="Times New Roman" w:cs="Times New Roman"/>
          <w:szCs w:val="24"/>
          <w:lang w:val="fr-FR" w:eastAsia="fr-FR"/>
        </w:rPr>
        <w:t xml:space="preserve">obtenir </w:t>
      </w:r>
      <w:r w:rsidR="00E13752" w:rsidRPr="00A66252">
        <w:rPr>
          <w:rFonts w:ascii="Times New Roman" w:eastAsiaTheme="minorHAnsi" w:hAnsi="Times New Roman" w:cs="Times New Roman"/>
          <w:lang w:val="fr-FR" w:eastAsia="fr-FR"/>
        </w:rPr>
        <w:t>de l</w:t>
      </w:r>
      <w:r w:rsidR="00A66252" w:rsidRPr="00A66252">
        <w:rPr>
          <w:rFonts w:ascii="Times New Roman" w:eastAsiaTheme="minorHAnsi" w:hAnsi="Times New Roman" w:cs="Times New Roman"/>
          <w:lang w:val="fr-FR" w:eastAsia="fr-FR"/>
        </w:rPr>
        <w:t>’</w:t>
      </w:r>
      <w:r w:rsidR="00E13752" w:rsidRPr="00A66252">
        <w:rPr>
          <w:rFonts w:ascii="Times New Roman" w:eastAsiaTheme="minorHAnsi" w:hAnsi="Times New Roman" w:cs="Times New Roman"/>
          <w:lang w:val="fr-FR" w:eastAsia="fr-FR"/>
        </w:rPr>
        <w:t>État de destination, comme condition préalable à l</w:t>
      </w:r>
      <w:r w:rsidR="00A66252" w:rsidRPr="00A66252">
        <w:rPr>
          <w:rFonts w:ascii="Times New Roman" w:eastAsiaTheme="minorHAnsi" w:hAnsi="Times New Roman" w:cs="Times New Roman"/>
          <w:lang w:val="fr-FR" w:eastAsia="fr-FR"/>
        </w:rPr>
        <w:t>’</w:t>
      </w:r>
      <w:r w:rsidR="00E13752" w:rsidRPr="00A66252">
        <w:rPr>
          <w:rFonts w:ascii="Times New Roman" w:eastAsiaTheme="minorHAnsi" w:hAnsi="Times New Roman" w:cs="Times New Roman"/>
          <w:lang w:val="fr-FR" w:eastAsia="fr-FR"/>
        </w:rPr>
        <w:t xml:space="preserve">éloignement, </w:t>
      </w:r>
      <w:r w:rsidR="0063745F" w:rsidRPr="00A66252">
        <w:rPr>
          <w:rFonts w:ascii="Times New Roman" w:eastAsiaTheme="minorHAnsi" w:hAnsi="Times New Roman" w:cs="Times New Roman"/>
          <w:szCs w:val="24"/>
          <w:lang w:val="fr-FR" w:eastAsia="fr-FR"/>
        </w:rPr>
        <w:t>des assurances individuelles</w:t>
      </w:r>
      <w:r w:rsidR="00433276" w:rsidRPr="00A66252">
        <w:rPr>
          <w:rFonts w:ascii="Times New Roman" w:eastAsiaTheme="minorHAnsi" w:hAnsi="Times New Roman" w:cs="Times New Roman"/>
          <w:szCs w:val="24"/>
          <w:lang w:val="fr-FR" w:eastAsia="fr-FR"/>
        </w:rPr>
        <w:t xml:space="preserve"> et suffisantes</w:t>
      </w:r>
      <w:r w:rsidR="0063745F" w:rsidRPr="00A66252">
        <w:rPr>
          <w:rFonts w:ascii="Times New Roman" w:eastAsiaTheme="minorHAnsi" w:hAnsi="Times New Roman" w:cs="Times New Roman"/>
          <w:szCs w:val="24"/>
          <w:lang w:val="fr-FR" w:eastAsia="fr-FR"/>
        </w:rPr>
        <w:t xml:space="preserve"> que des traitements adéquats seront disponibles et accessibles au</w:t>
      </w:r>
      <w:r w:rsidR="00E13752" w:rsidRPr="00A66252">
        <w:rPr>
          <w:rFonts w:ascii="Times New Roman" w:eastAsiaTheme="minorHAnsi" w:hAnsi="Times New Roman" w:cs="Times New Roman"/>
          <w:szCs w:val="24"/>
          <w:lang w:val="fr-FR" w:eastAsia="fr-FR"/>
        </w:rPr>
        <w:t>x</w:t>
      </w:r>
      <w:r w:rsidR="0063745F" w:rsidRPr="00A66252">
        <w:rPr>
          <w:rFonts w:ascii="Times New Roman" w:eastAsiaTheme="minorHAnsi" w:hAnsi="Times New Roman" w:cs="Times New Roman"/>
          <w:szCs w:val="24"/>
          <w:lang w:val="fr-FR" w:eastAsia="fr-FR"/>
        </w:rPr>
        <w:t xml:space="preserve"> </w:t>
      </w:r>
      <w:r w:rsidR="00E13752" w:rsidRPr="00A66252">
        <w:rPr>
          <w:rFonts w:ascii="Times New Roman" w:eastAsiaTheme="minorHAnsi" w:hAnsi="Times New Roman" w:cs="Times New Roman"/>
          <w:lang w:val="fr-FR" w:eastAsia="fr-FR"/>
        </w:rPr>
        <w:t>intéressés afin qu</w:t>
      </w:r>
      <w:r w:rsidR="00A66252" w:rsidRPr="00A66252">
        <w:rPr>
          <w:rFonts w:ascii="Times New Roman" w:eastAsiaTheme="minorHAnsi" w:hAnsi="Times New Roman" w:cs="Times New Roman"/>
          <w:lang w:val="fr-FR" w:eastAsia="fr-FR"/>
        </w:rPr>
        <w:t>’</w:t>
      </w:r>
      <w:r w:rsidR="00E13752" w:rsidRPr="00A66252">
        <w:rPr>
          <w:rFonts w:ascii="Times New Roman" w:eastAsiaTheme="minorHAnsi" w:hAnsi="Times New Roman" w:cs="Times New Roman"/>
          <w:lang w:val="fr-FR" w:eastAsia="fr-FR"/>
        </w:rPr>
        <w:t xml:space="preserve">ils ne </w:t>
      </w:r>
      <w:r w:rsidR="00987C33" w:rsidRPr="00A66252">
        <w:rPr>
          <w:rFonts w:ascii="Times New Roman" w:eastAsiaTheme="minorHAnsi" w:hAnsi="Times New Roman" w:cs="Times New Roman"/>
          <w:lang w:val="fr-FR" w:eastAsia="fr-FR"/>
        </w:rPr>
        <w:t xml:space="preserve">se retrouvent pas dans une situation </w:t>
      </w:r>
      <w:r w:rsidR="00E13752" w:rsidRPr="00A66252">
        <w:rPr>
          <w:rFonts w:ascii="Times New Roman" w:eastAsiaTheme="minorHAnsi" w:hAnsi="Times New Roman" w:cs="Times New Roman"/>
          <w:lang w:val="fr-FR" w:eastAsia="fr-FR"/>
        </w:rPr>
        <w:t>contraire à l</w:t>
      </w:r>
      <w:r w:rsidR="00A66252" w:rsidRPr="00A66252">
        <w:rPr>
          <w:rFonts w:ascii="Times New Roman" w:eastAsiaTheme="minorHAnsi" w:hAnsi="Times New Roman" w:cs="Times New Roman"/>
          <w:lang w:val="fr-FR" w:eastAsia="fr-FR"/>
        </w:rPr>
        <w:t>’</w:t>
      </w:r>
      <w:r w:rsidR="00E13752" w:rsidRPr="00A66252">
        <w:rPr>
          <w:rFonts w:ascii="Times New Roman" w:eastAsiaTheme="minorHAnsi" w:hAnsi="Times New Roman" w:cs="Times New Roman"/>
          <w:lang w:val="fr-FR" w:eastAsia="fr-FR"/>
        </w:rPr>
        <w:t>article 3 (</w:t>
      </w:r>
      <w:r w:rsidR="00BF645E" w:rsidRPr="00A66252">
        <w:rPr>
          <w:rFonts w:ascii="Times New Roman" w:eastAsiaTheme="minorHAnsi" w:hAnsi="Times New Roman" w:cs="Times New Roman"/>
          <w:lang w:val="fr-FR" w:eastAsia="fr-FR"/>
        </w:rPr>
        <w:t>sur l</w:t>
      </w:r>
      <w:r w:rsidR="00A66252" w:rsidRPr="00A66252">
        <w:rPr>
          <w:rFonts w:ascii="Times New Roman" w:eastAsiaTheme="minorHAnsi" w:hAnsi="Times New Roman" w:cs="Times New Roman"/>
          <w:lang w:val="fr-FR" w:eastAsia="fr-FR"/>
        </w:rPr>
        <w:t>’</w:t>
      </w:r>
      <w:r w:rsidR="00BF645E" w:rsidRPr="00A66252">
        <w:rPr>
          <w:rFonts w:ascii="Times New Roman" w:eastAsiaTheme="minorHAnsi" w:hAnsi="Times New Roman" w:cs="Times New Roman"/>
          <w:lang w:val="fr-FR" w:eastAsia="fr-FR"/>
        </w:rPr>
        <w:t>obtention d</w:t>
      </w:r>
      <w:r w:rsidR="00A66252" w:rsidRPr="00A66252">
        <w:rPr>
          <w:rFonts w:ascii="Times New Roman" w:eastAsiaTheme="minorHAnsi" w:hAnsi="Times New Roman" w:cs="Times New Roman"/>
          <w:lang w:val="fr-FR" w:eastAsia="fr-FR"/>
        </w:rPr>
        <w:t>’</w:t>
      </w:r>
      <w:r w:rsidR="00BF645E" w:rsidRPr="00A66252">
        <w:rPr>
          <w:rFonts w:ascii="Times New Roman" w:eastAsiaTheme="minorHAnsi" w:hAnsi="Times New Roman" w:cs="Times New Roman"/>
          <w:lang w:val="fr-FR" w:eastAsia="fr-FR"/>
        </w:rPr>
        <w:t xml:space="preserve">assurances individuelles, </w:t>
      </w:r>
      <w:r w:rsidR="00E13752" w:rsidRPr="00A66252">
        <w:rPr>
          <w:rFonts w:ascii="Times New Roman" w:eastAsiaTheme="minorHAnsi" w:hAnsi="Times New Roman" w:cs="Times New Roman"/>
          <w:lang w:val="fr-FR" w:eastAsia="fr-FR"/>
        </w:rPr>
        <w:t xml:space="preserve">voir </w:t>
      </w:r>
      <w:proofErr w:type="spellStart"/>
      <w:r w:rsidR="00E13752" w:rsidRPr="00A66252">
        <w:rPr>
          <w:i/>
          <w:lang w:val="fr-FR"/>
        </w:rPr>
        <w:t>Tarakhel</w:t>
      </w:r>
      <w:proofErr w:type="spellEnd"/>
      <w:r w:rsidR="00E13752" w:rsidRPr="00A66252">
        <w:rPr>
          <w:lang w:val="fr-FR"/>
        </w:rPr>
        <w:t xml:space="preserve">, </w:t>
      </w:r>
      <w:r w:rsidR="002D7D31" w:rsidRPr="00A66252">
        <w:rPr>
          <w:lang w:val="fr-FR"/>
        </w:rPr>
        <w:t xml:space="preserve">précité, </w:t>
      </w:r>
      <w:r w:rsidR="00E13752" w:rsidRPr="00A66252">
        <w:rPr>
          <w:lang w:val="fr-FR"/>
        </w:rPr>
        <w:t>§</w:t>
      </w:r>
      <w:r w:rsidR="002D7D31" w:rsidRPr="00A66252">
        <w:rPr>
          <w:lang w:val="fr-FR"/>
        </w:rPr>
        <w:t xml:space="preserve"> 120</w:t>
      </w:r>
      <w:r w:rsidR="00E13752" w:rsidRPr="00A66252">
        <w:rPr>
          <w:lang w:val="fr-FR"/>
        </w:rPr>
        <w:t>)</w:t>
      </w:r>
      <w:r w:rsidR="0063745F" w:rsidRPr="00A66252">
        <w:rPr>
          <w:rFonts w:ascii="Times New Roman" w:eastAsiaTheme="minorHAnsi" w:hAnsi="Times New Roman" w:cs="Times New Roman"/>
          <w:szCs w:val="24"/>
          <w:lang w:val="fr-FR" w:eastAsia="fr-FR"/>
        </w:rPr>
        <w:t>.</w:t>
      </w:r>
    </w:p>
    <w:p w:rsidR="00EE02F0" w:rsidRPr="00A66252" w:rsidRDefault="00EE02F0"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192</w:t>
      </w:r>
      <w:r w:rsidRPr="00A66252">
        <w:rPr>
          <w:lang w:val="fr-FR" w:eastAsia="fr-FR"/>
        </w:rPr>
        <w:fldChar w:fldCharType="end"/>
      </w:r>
      <w:r w:rsidRPr="00A66252">
        <w:rPr>
          <w:lang w:val="fr-FR" w:eastAsia="fr-FR"/>
        </w:rPr>
        <w:t>.  </w:t>
      </w:r>
      <w:r w:rsidR="00281785" w:rsidRPr="00A66252">
        <w:rPr>
          <w:lang w:val="fr-FR" w:eastAsia="fr-FR"/>
        </w:rPr>
        <w:t>La Cour tient à préciser</w:t>
      </w:r>
      <w:r w:rsidR="00281785" w:rsidRPr="00A66252" w:rsidDel="00281785">
        <w:rPr>
          <w:lang w:val="fr-FR" w:eastAsia="fr-FR"/>
        </w:rPr>
        <w:t xml:space="preserve"> </w:t>
      </w:r>
      <w:r w:rsidR="00281785" w:rsidRPr="00A66252">
        <w:rPr>
          <w:lang w:val="fr-FR" w:eastAsia="fr-FR"/>
        </w:rPr>
        <w:t>qu</w:t>
      </w:r>
      <w:r w:rsidR="00A66252" w:rsidRPr="00A66252">
        <w:rPr>
          <w:lang w:val="fr-FR" w:eastAsia="fr-FR"/>
        </w:rPr>
        <w:t>’</w:t>
      </w:r>
      <w:r w:rsidR="00281785" w:rsidRPr="00A66252">
        <w:rPr>
          <w:lang w:val="fr-FR" w:eastAsia="fr-FR"/>
        </w:rPr>
        <w:t xml:space="preserve">en </w:t>
      </w:r>
      <w:r w:rsidRPr="00A66252">
        <w:rPr>
          <w:lang w:val="fr-FR" w:eastAsia="fr-FR"/>
        </w:rPr>
        <w:t>cas d</w:t>
      </w:r>
      <w:r w:rsidR="00A66252" w:rsidRPr="00A66252">
        <w:rPr>
          <w:lang w:val="fr-FR" w:eastAsia="fr-FR"/>
        </w:rPr>
        <w:t>’</w:t>
      </w:r>
      <w:r w:rsidR="00AF6E9E" w:rsidRPr="00A66252">
        <w:rPr>
          <w:rFonts w:cstheme="minorHAnsi"/>
          <w:lang w:val="fr-FR" w:eastAsia="fr-FR"/>
        </w:rPr>
        <w:t>él</w:t>
      </w:r>
      <w:r w:rsidR="00AF6E9E" w:rsidRPr="00A66252">
        <w:rPr>
          <w:lang w:val="fr-FR" w:eastAsia="fr-FR"/>
        </w:rPr>
        <w:t>oignement</w:t>
      </w:r>
      <w:r w:rsidRPr="00A66252">
        <w:rPr>
          <w:lang w:val="fr-FR" w:eastAsia="fr-FR"/>
        </w:rPr>
        <w:t xml:space="preserve"> de personnes gravement malades, le fait qui provoque le traitement inhumain et dégradant et engage la responsabilité de l</w:t>
      </w:r>
      <w:r w:rsidR="00A66252" w:rsidRPr="00A66252">
        <w:rPr>
          <w:lang w:val="fr-FR" w:eastAsia="fr-FR"/>
        </w:rPr>
        <w:t>’</w:t>
      </w:r>
      <w:r w:rsidRPr="00A66252">
        <w:rPr>
          <w:lang w:val="fr-FR" w:eastAsia="fr-FR"/>
        </w:rPr>
        <w:t xml:space="preserve">État </w:t>
      </w:r>
      <w:r w:rsidR="00BF645E" w:rsidRPr="00A66252">
        <w:rPr>
          <w:lang w:val="fr-FR" w:eastAsia="fr-FR"/>
        </w:rPr>
        <w:t>de renvoi</w:t>
      </w:r>
      <w:r w:rsidRPr="00A66252">
        <w:rPr>
          <w:lang w:val="fr-FR" w:eastAsia="fr-FR"/>
        </w:rPr>
        <w:t xml:space="preserve"> au regard de l</w:t>
      </w:r>
      <w:r w:rsidR="00A66252" w:rsidRPr="00A66252">
        <w:rPr>
          <w:lang w:val="fr-FR" w:eastAsia="fr-FR"/>
        </w:rPr>
        <w:t>’</w:t>
      </w:r>
      <w:r w:rsidRPr="00A66252">
        <w:rPr>
          <w:lang w:val="fr-FR" w:eastAsia="fr-FR"/>
        </w:rPr>
        <w:t>article 3</w:t>
      </w:r>
      <w:r w:rsidR="00E26108" w:rsidRPr="00A66252">
        <w:rPr>
          <w:lang w:val="fr-FR" w:eastAsia="fr-FR"/>
        </w:rPr>
        <w:t>,</w:t>
      </w:r>
      <w:r w:rsidRPr="00A66252">
        <w:rPr>
          <w:lang w:val="fr-FR" w:eastAsia="fr-FR"/>
        </w:rPr>
        <w:t xml:space="preserve"> n</w:t>
      </w:r>
      <w:r w:rsidR="00A66252" w:rsidRPr="00A66252">
        <w:rPr>
          <w:lang w:val="fr-FR" w:eastAsia="fr-FR"/>
        </w:rPr>
        <w:t>’</w:t>
      </w:r>
      <w:r w:rsidRPr="00A66252">
        <w:rPr>
          <w:lang w:val="fr-FR" w:eastAsia="fr-FR"/>
        </w:rPr>
        <w:t xml:space="preserve">est pas le manquement par </w:t>
      </w:r>
      <w:r w:rsidR="00472AB3" w:rsidRPr="00A66252">
        <w:rPr>
          <w:lang w:val="fr-FR" w:eastAsia="fr-FR"/>
        </w:rPr>
        <w:t>l</w:t>
      </w:r>
      <w:r w:rsidR="00A66252" w:rsidRPr="00A66252">
        <w:rPr>
          <w:lang w:val="fr-FR" w:eastAsia="fr-FR"/>
        </w:rPr>
        <w:t>’</w:t>
      </w:r>
      <w:r w:rsidR="00BF645E" w:rsidRPr="00A66252">
        <w:rPr>
          <w:lang w:val="fr-FR" w:eastAsia="fr-FR"/>
        </w:rPr>
        <w:t xml:space="preserve">État </w:t>
      </w:r>
      <w:r w:rsidRPr="00A66252">
        <w:rPr>
          <w:lang w:val="fr-FR" w:eastAsia="fr-FR"/>
        </w:rPr>
        <w:t>de destination à disposer d</w:t>
      </w:r>
      <w:r w:rsidR="00A66252" w:rsidRPr="00A66252">
        <w:rPr>
          <w:lang w:val="fr-FR" w:eastAsia="fr-FR"/>
        </w:rPr>
        <w:t>’</w:t>
      </w:r>
      <w:r w:rsidRPr="00A66252">
        <w:rPr>
          <w:lang w:val="fr-FR" w:eastAsia="fr-FR"/>
        </w:rPr>
        <w:t>infrastructures médicales. N</w:t>
      </w:r>
      <w:r w:rsidR="00A66252" w:rsidRPr="00A66252">
        <w:rPr>
          <w:lang w:val="fr-FR" w:eastAsia="fr-FR"/>
        </w:rPr>
        <w:t>’</w:t>
      </w:r>
      <w:r w:rsidRPr="00A66252">
        <w:rPr>
          <w:lang w:val="fr-FR" w:eastAsia="fr-FR"/>
        </w:rPr>
        <w:t xml:space="preserve">est pas davantage en cause une quelconque obligation </w:t>
      </w:r>
      <w:r w:rsidR="00354CB5" w:rsidRPr="00A66252">
        <w:rPr>
          <w:lang w:val="fr-FR" w:eastAsia="fr-FR"/>
        </w:rPr>
        <w:t>pour l</w:t>
      </w:r>
      <w:r w:rsidR="00A66252" w:rsidRPr="00A66252">
        <w:rPr>
          <w:lang w:val="fr-FR" w:eastAsia="fr-FR"/>
        </w:rPr>
        <w:t>’</w:t>
      </w:r>
      <w:r w:rsidR="00354CB5" w:rsidRPr="00A66252">
        <w:rPr>
          <w:lang w:val="fr-FR" w:eastAsia="fr-FR"/>
        </w:rPr>
        <w:t xml:space="preserve">État de renvoi </w:t>
      </w:r>
      <w:r w:rsidRPr="00A66252">
        <w:rPr>
          <w:lang w:val="fr-FR" w:eastAsia="fr-FR"/>
        </w:rPr>
        <w:t xml:space="preserve">de pallier les disparités entre son système de soins et le niveau de traitement existant dans </w:t>
      </w:r>
      <w:r w:rsidR="00BF645E" w:rsidRPr="00A66252">
        <w:rPr>
          <w:lang w:val="fr-FR" w:eastAsia="fr-FR"/>
        </w:rPr>
        <w:t>l</w:t>
      </w:r>
      <w:r w:rsidR="00A66252" w:rsidRPr="00A66252">
        <w:rPr>
          <w:lang w:val="fr-FR" w:eastAsia="fr-FR"/>
        </w:rPr>
        <w:t>’</w:t>
      </w:r>
      <w:r w:rsidR="00BF645E" w:rsidRPr="00A66252">
        <w:rPr>
          <w:lang w:val="fr-FR" w:eastAsia="fr-FR"/>
        </w:rPr>
        <w:t xml:space="preserve">État </w:t>
      </w:r>
      <w:r w:rsidR="00E26108" w:rsidRPr="00A66252">
        <w:rPr>
          <w:lang w:val="fr-FR" w:eastAsia="fr-FR"/>
        </w:rPr>
        <w:t>de destination</w:t>
      </w:r>
      <w:r w:rsidR="00A65195" w:rsidRPr="00A66252">
        <w:rPr>
          <w:lang w:val="fr-FR" w:eastAsia="fr-FR"/>
        </w:rPr>
        <w:t>,</w:t>
      </w:r>
      <w:r w:rsidR="00E26108" w:rsidRPr="00A66252">
        <w:rPr>
          <w:lang w:val="fr-FR" w:eastAsia="fr-FR"/>
        </w:rPr>
        <w:t xml:space="preserve"> </w:t>
      </w:r>
      <w:r w:rsidRPr="00A66252">
        <w:rPr>
          <w:lang w:val="fr-FR" w:eastAsia="fr-FR"/>
        </w:rPr>
        <w:t>en fournissant des soins de santé gratuits et illimités à tous les étrangers dépourvus du droit de demeurer sur son territoire.</w:t>
      </w:r>
      <w:r w:rsidR="00281785" w:rsidRPr="00A66252">
        <w:rPr>
          <w:lang w:val="fr-FR" w:eastAsia="fr-FR"/>
        </w:rPr>
        <w:t xml:space="preserve"> L</w:t>
      </w:r>
      <w:r w:rsidR="003D09B9" w:rsidRPr="00A66252">
        <w:rPr>
          <w:lang w:val="fr-FR" w:eastAsia="fr-FR"/>
        </w:rPr>
        <w:t>a responsabilité sur le terrain de la Convention qui se trouve engagée dans des cas de ce genre</w:t>
      </w:r>
      <w:r w:rsidR="00354CB5" w:rsidRPr="00A66252">
        <w:rPr>
          <w:lang w:val="fr-FR" w:eastAsia="fr-FR"/>
        </w:rPr>
        <w:t xml:space="preserve"> est celle de l</w:t>
      </w:r>
      <w:r w:rsidR="00A66252" w:rsidRPr="00A66252">
        <w:rPr>
          <w:lang w:val="fr-FR" w:eastAsia="fr-FR"/>
        </w:rPr>
        <w:t>’</w:t>
      </w:r>
      <w:r w:rsidR="00354CB5" w:rsidRPr="00A66252">
        <w:rPr>
          <w:lang w:val="fr-FR" w:eastAsia="fr-FR"/>
        </w:rPr>
        <w:t xml:space="preserve">État de renvoi </w:t>
      </w:r>
      <w:r w:rsidR="003D09B9" w:rsidRPr="00A66252">
        <w:rPr>
          <w:lang w:val="fr-FR" w:eastAsia="fr-FR"/>
        </w:rPr>
        <w:t>du chef d</w:t>
      </w:r>
      <w:r w:rsidR="00A66252" w:rsidRPr="00A66252">
        <w:rPr>
          <w:lang w:val="fr-FR" w:eastAsia="fr-FR"/>
        </w:rPr>
        <w:t>’</w:t>
      </w:r>
      <w:r w:rsidR="003D09B9" w:rsidRPr="00A66252">
        <w:rPr>
          <w:lang w:val="fr-FR" w:eastAsia="fr-FR"/>
        </w:rPr>
        <w:t>un acte, en l</w:t>
      </w:r>
      <w:r w:rsidR="00A66252" w:rsidRPr="00A66252">
        <w:rPr>
          <w:lang w:val="fr-FR" w:eastAsia="fr-FR"/>
        </w:rPr>
        <w:t>’</w:t>
      </w:r>
      <w:r w:rsidR="003D09B9" w:rsidRPr="00A66252">
        <w:rPr>
          <w:lang w:val="fr-FR" w:eastAsia="fr-FR"/>
        </w:rPr>
        <w:t>occurrence l</w:t>
      </w:r>
      <w:r w:rsidR="00A66252" w:rsidRPr="00A66252">
        <w:rPr>
          <w:lang w:val="fr-FR" w:eastAsia="fr-FR"/>
        </w:rPr>
        <w:t>’</w:t>
      </w:r>
      <w:r w:rsidR="003D09B9" w:rsidRPr="00A66252">
        <w:rPr>
          <w:lang w:val="fr-FR" w:eastAsia="fr-FR"/>
        </w:rPr>
        <w:t>expulsion, qui aurait pour résultat d</w:t>
      </w:r>
      <w:r w:rsidR="00A66252" w:rsidRPr="00A66252">
        <w:rPr>
          <w:lang w:val="fr-FR" w:eastAsia="fr-FR"/>
        </w:rPr>
        <w:t>’</w:t>
      </w:r>
      <w:r w:rsidR="003D09B9" w:rsidRPr="00A66252">
        <w:rPr>
          <w:lang w:val="fr-FR" w:eastAsia="fr-FR"/>
        </w:rPr>
        <w:t>exposer quelqu</w:t>
      </w:r>
      <w:r w:rsidR="00A66252" w:rsidRPr="00A66252">
        <w:rPr>
          <w:lang w:val="fr-FR" w:eastAsia="fr-FR"/>
        </w:rPr>
        <w:t>’</w:t>
      </w:r>
      <w:r w:rsidR="003D09B9" w:rsidRPr="00A66252">
        <w:rPr>
          <w:lang w:val="fr-FR" w:eastAsia="fr-FR"/>
        </w:rPr>
        <w:t>un à un risque de traitement prohibé par l</w:t>
      </w:r>
      <w:r w:rsidR="00A66252" w:rsidRPr="00A66252">
        <w:rPr>
          <w:lang w:val="fr-FR" w:eastAsia="fr-FR"/>
        </w:rPr>
        <w:t>’</w:t>
      </w:r>
      <w:r w:rsidR="003D09B9" w:rsidRPr="00A66252">
        <w:rPr>
          <w:lang w:val="fr-FR" w:eastAsia="fr-FR"/>
        </w:rPr>
        <w:t>article 3.</w:t>
      </w:r>
    </w:p>
    <w:p w:rsidR="00EE02F0" w:rsidRPr="00A66252" w:rsidRDefault="00EE02F0"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193</w:t>
      </w:r>
      <w:r w:rsidRPr="00A66252">
        <w:rPr>
          <w:lang w:val="fr-FR" w:eastAsia="fr-FR"/>
        </w:rPr>
        <w:fldChar w:fldCharType="end"/>
      </w:r>
      <w:r w:rsidR="00BF645E" w:rsidRPr="00A66252">
        <w:rPr>
          <w:lang w:val="fr-FR" w:eastAsia="fr-FR"/>
        </w:rPr>
        <w:t>. </w:t>
      </w:r>
      <w:r w:rsidR="002C7116" w:rsidRPr="00A66252">
        <w:rPr>
          <w:lang w:val="fr-FR" w:eastAsia="fr-FR"/>
        </w:rPr>
        <w:t> </w:t>
      </w:r>
      <w:r w:rsidR="00BF645E" w:rsidRPr="00A66252">
        <w:rPr>
          <w:lang w:val="fr-FR" w:eastAsia="fr-FR"/>
        </w:rPr>
        <w:t>Enfin, l</w:t>
      </w:r>
      <w:r w:rsidRPr="00A66252">
        <w:rPr>
          <w:lang w:val="fr-FR" w:eastAsia="fr-FR"/>
        </w:rPr>
        <w:t>a circonstance que l</w:t>
      </w:r>
      <w:r w:rsidR="00A66252" w:rsidRPr="00A66252">
        <w:rPr>
          <w:lang w:val="fr-FR" w:eastAsia="fr-FR"/>
        </w:rPr>
        <w:t>’</w:t>
      </w:r>
      <w:r w:rsidRPr="00A66252">
        <w:rPr>
          <w:lang w:val="fr-FR" w:eastAsia="fr-FR"/>
        </w:rPr>
        <w:t>État tiers soit un État partie à la Convention n</w:t>
      </w:r>
      <w:r w:rsidR="00A66252" w:rsidRPr="00A66252">
        <w:rPr>
          <w:lang w:val="fr-FR" w:eastAsia="fr-FR"/>
        </w:rPr>
        <w:t>’</w:t>
      </w:r>
      <w:r w:rsidRPr="00A66252">
        <w:rPr>
          <w:lang w:val="fr-FR" w:eastAsia="fr-FR"/>
        </w:rPr>
        <w:t>est pas déterminante.</w:t>
      </w:r>
      <w:r w:rsidRPr="00A66252">
        <w:rPr>
          <w:lang w:val="fr-FR"/>
        </w:rPr>
        <w:t xml:space="preserve"> </w:t>
      </w:r>
      <w:r w:rsidRPr="00A66252">
        <w:rPr>
          <w:lang w:val="fr-FR" w:eastAsia="fr-FR"/>
        </w:rPr>
        <w:t xml:space="preserve">Tout en considérant, comme le </w:t>
      </w:r>
      <w:r w:rsidR="00066F9E" w:rsidRPr="00A66252">
        <w:rPr>
          <w:lang w:val="fr-FR" w:eastAsia="fr-FR"/>
        </w:rPr>
        <w:t xml:space="preserve">soutient </w:t>
      </w:r>
      <w:r w:rsidRPr="00A66252">
        <w:rPr>
          <w:lang w:val="fr-FR" w:eastAsia="fr-FR"/>
        </w:rPr>
        <w:t>le Gouvernement, que la possibilité qu</w:t>
      </w:r>
      <w:r w:rsidR="00A66252" w:rsidRPr="00A66252">
        <w:rPr>
          <w:lang w:val="fr-FR" w:eastAsia="fr-FR"/>
        </w:rPr>
        <w:t>’</w:t>
      </w:r>
      <w:r w:rsidRPr="00A66252">
        <w:rPr>
          <w:lang w:val="fr-FR" w:eastAsia="fr-FR"/>
        </w:rPr>
        <w:t xml:space="preserve">aurait </w:t>
      </w:r>
      <w:r w:rsidR="00F7184B" w:rsidRPr="00A66252">
        <w:rPr>
          <w:lang w:val="fr-FR" w:eastAsia="fr-FR"/>
        </w:rPr>
        <w:t xml:space="preserve">eue </w:t>
      </w:r>
      <w:r w:rsidRPr="00A66252">
        <w:rPr>
          <w:lang w:val="fr-FR" w:eastAsia="fr-FR"/>
        </w:rPr>
        <w:t xml:space="preserve">le requérant de mettre en mouvement une procédure à son retour en Géorgie </w:t>
      </w:r>
      <w:r w:rsidR="00F7184B" w:rsidRPr="00A66252">
        <w:rPr>
          <w:lang w:val="fr-FR" w:eastAsia="fr-FR"/>
        </w:rPr>
        <w:t>était</w:t>
      </w:r>
      <w:r w:rsidRPr="00A66252">
        <w:rPr>
          <w:lang w:val="fr-FR" w:eastAsia="fr-FR"/>
        </w:rPr>
        <w:t xml:space="preserve"> en principe la voie la plus normale dans le cadre du système mis en place par la Convention, la Cour rappelle que les autorités de l</w:t>
      </w:r>
      <w:r w:rsidR="00A66252" w:rsidRPr="00A66252">
        <w:rPr>
          <w:lang w:val="fr-FR" w:eastAsia="fr-FR"/>
        </w:rPr>
        <w:t>’</w:t>
      </w:r>
      <w:r w:rsidRPr="00A66252">
        <w:rPr>
          <w:lang w:val="fr-FR" w:eastAsia="fr-FR"/>
        </w:rPr>
        <w:t>État de renvoi ne sont pas dispensées, pour cette raison, de leurs obligations préventives au titre de l</w:t>
      </w:r>
      <w:r w:rsidR="00A66252" w:rsidRPr="00A66252">
        <w:rPr>
          <w:lang w:val="fr-FR" w:eastAsia="fr-FR"/>
        </w:rPr>
        <w:t>’</w:t>
      </w:r>
      <w:r w:rsidRPr="00A66252">
        <w:rPr>
          <w:lang w:val="fr-FR" w:eastAsia="fr-FR"/>
        </w:rPr>
        <w:t>article 3 de la Convention (voir, parmi d</w:t>
      </w:r>
      <w:r w:rsidR="00A66252" w:rsidRPr="00A66252">
        <w:rPr>
          <w:lang w:val="fr-FR" w:eastAsia="fr-FR"/>
        </w:rPr>
        <w:t>’</w:t>
      </w:r>
      <w:r w:rsidRPr="00A66252">
        <w:rPr>
          <w:lang w:val="fr-FR" w:eastAsia="fr-FR"/>
        </w:rPr>
        <w:t xml:space="preserve">autres, </w:t>
      </w:r>
      <w:r w:rsidRPr="00A66252">
        <w:rPr>
          <w:i/>
          <w:lang w:val="fr-FR" w:eastAsia="fr-FR"/>
        </w:rPr>
        <w:t>M.S.S. c. Belgique et Gr</w:t>
      </w:r>
      <w:r w:rsidRPr="00A66252">
        <w:rPr>
          <w:rFonts w:cstheme="minorHAnsi"/>
          <w:i/>
          <w:lang w:val="fr-FR" w:eastAsia="fr-FR"/>
        </w:rPr>
        <w:t>è</w:t>
      </w:r>
      <w:r w:rsidRPr="00A66252">
        <w:rPr>
          <w:i/>
          <w:lang w:val="fr-FR" w:eastAsia="fr-FR"/>
        </w:rPr>
        <w:t>ce</w:t>
      </w:r>
      <w:r w:rsidR="00B32D6C" w:rsidRPr="00A66252">
        <w:rPr>
          <w:lang w:val="fr-FR" w:eastAsia="fr-FR"/>
        </w:rPr>
        <w:t>, précité, §§ </w:t>
      </w:r>
      <w:r w:rsidRPr="00A66252">
        <w:rPr>
          <w:lang w:val="fr-FR" w:eastAsia="fr-FR"/>
        </w:rPr>
        <w:t xml:space="preserve">357-359, et </w:t>
      </w:r>
      <w:proofErr w:type="spellStart"/>
      <w:r w:rsidRPr="00A66252">
        <w:rPr>
          <w:i/>
          <w:lang w:val="fr-FR" w:eastAsia="fr-FR"/>
        </w:rPr>
        <w:t>Tarakhel</w:t>
      </w:r>
      <w:proofErr w:type="spellEnd"/>
      <w:r w:rsidRPr="00A66252">
        <w:rPr>
          <w:lang w:val="fr-FR"/>
        </w:rPr>
        <w:t xml:space="preserve">, </w:t>
      </w:r>
      <w:r w:rsidRPr="00A66252">
        <w:rPr>
          <w:lang w:val="fr-FR" w:eastAsia="fr-FR"/>
        </w:rPr>
        <w:t>précité, §§ 104-105).</w:t>
      </w:r>
    </w:p>
    <w:p w:rsidR="007A490B" w:rsidRPr="00A66252" w:rsidRDefault="003D09B9" w:rsidP="00A66252">
      <w:pPr>
        <w:pStyle w:val="ECHRHeading3"/>
        <w:rPr>
          <w:lang w:val="fr-FR"/>
        </w:rPr>
      </w:pPr>
      <w:r w:rsidRPr="00A66252">
        <w:rPr>
          <w:lang w:val="fr-FR"/>
        </w:rPr>
        <w:t>2</w:t>
      </w:r>
      <w:r w:rsidR="00C93FE5" w:rsidRPr="00A66252">
        <w:rPr>
          <w:lang w:val="fr-FR"/>
        </w:rPr>
        <w:t>.  </w:t>
      </w:r>
      <w:r w:rsidRPr="00A66252">
        <w:rPr>
          <w:lang w:val="fr-FR"/>
        </w:rPr>
        <w:t>Application des principes généraux à la présente espèce</w:t>
      </w:r>
    </w:p>
    <w:p w:rsidR="003D7D66" w:rsidRPr="00A66252" w:rsidRDefault="00BF645E"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194</w:t>
      </w:r>
      <w:r w:rsidRPr="00A66252">
        <w:rPr>
          <w:lang w:val="fr-FR" w:eastAsia="fr-FR"/>
        </w:rPr>
        <w:fldChar w:fldCharType="end"/>
      </w:r>
      <w:r w:rsidRPr="00A66252">
        <w:rPr>
          <w:lang w:val="fr-FR" w:eastAsia="fr-FR"/>
        </w:rPr>
        <w:t>.  </w:t>
      </w:r>
      <w:r w:rsidR="00B41340" w:rsidRPr="00A66252">
        <w:rPr>
          <w:lang w:val="fr-FR" w:eastAsia="fr-FR"/>
        </w:rPr>
        <w:t>Il n</w:t>
      </w:r>
      <w:r w:rsidR="00A66252" w:rsidRPr="00A66252">
        <w:rPr>
          <w:lang w:val="fr-FR" w:eastAsia="fr-FR"/>
        </w:rPr>
        <w:t>’</w:t>
      </w:r>
      <w:r w:rsidR="00B41340" w:rsidRPr="00A66252">
        <w:rPr>
          <w:lang w:val="fr-FR" w:eastAsia="fr-FR"/>
        </w:rPr>
        <w:t xml:space="preserve">est pas contesté que le requérant </w:t>
      </w:r>
      <w:r w:rsidR="00C57DA2" w:rsidRPr="00A66252">
        <w:rPr>
          <w:lang w:val="fr-FR" w:eastAsia="fr-FR"/>
        </w:rPr>
        <w:t xml:space="preserve">était </w:t>
      </w:r>
      <w:r w:rsidR="00B41340" w:rsidRPr="00A66252">
        <w:rPr>
          <w:lang w:val="fr-FR" w:eastAsia="fr-FR"/>
        </w:rPr>
        <w:t>atteint d</w:t>
      </w:r>
      <w:r w:rsidR="00A66252" w:rsidRPr="00A66252">
        <w:rPr>
          <w:lang w:val="fr-FR" w:eastAsia="fr-FR"/>
        </w:rPr>
        <w:t>’</w:t>
      </w:r>
      <w:r w:rsidR="00B41340" w:rsidRPr="00A66252">
        <w:rPr>
          <w:lang w:val="fr-FR" w:eastAsia="fr-FR"/>
        </w:rPr>
        <w:t>une maladie très grave</w:t>
      </w:r>
      <w:r w:rsidR="00F14DF0" w:rsidRPr="00A66252">
        <w:rPr>
          <w:lang w:val="fr-FR" w:eastAsia="fr-FR"/>
        </w:rPr>
        <w:t>, une leucémie lymphoïde chronique,</w:t>
      </w:r>
      <w:r w:rsidR="00B41340" w:rsidRPr="00A66252">
        <w:rPr>
          <w:lang w:val="fr-FR" w:eastAsia="fr-FR"/>
        </w:rPr>
        <w:t xml:space="preserve"> et que son pronostic vital </w:t>
      </w:r>
      <w:r w:rsidR="00C57DA2" w:rsidRPr="00A66252">
        <w:rPr>
          <w:lang w:val="fr-FR" w:eastAsia="fr-FR"/>
        </w:rPr>
        <w:t xml:space="preserve">était </w:t>
      </w:r>
      <w:r w:rsidR="00B41340" w:rsidRPr="00A66252">
        <w:rPr>
          <w:lang w:val="fr-FR" w:eastAsia="fr-FR"/>
        </w:rPr>
        <w:t>e</w:t>
      </w:r>
      <w:r w:rsidR="0070474E" w:rsidRPr="00A66252">
        <w:rPr>
          <w:lang w:val="fr-FR" w:eastAsia="fr-FR"/>
        </w:rPr>
        <w:t>ngagé.</w:t>
      </w:r>
    </w:p>
    <w:p w:rsidR="00A66252" w:rsidRPr="00A66252" w:rsidRDefault="003D7D66"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195</w:t>
      </w:r>
      <w:r w:rsidRPr="00A66252">
        <w:rPr>
          <w:lang w:val="fr-FR" w:eastAsia="fr-FR"/>
        </w:rPr>
        <w:fldChar w:fldCharType="end"/>
      </w:r>
      <w:r w:rsidRPr="00A66252">
        <w:rPr>
          <w:lang w:val="fr-FR" w:eastAsia="fr-FR"/>
        </w:rPr>
        <w:t>. </w:t>
      </w:r>
      <w:r w:rsidR="002C7116" w:rsidRPr="00A66252">
        <w:rPr>
          <w:lang w:val="fr-FR" w:eastAsia="fr-FR"/>
        </w:rPr>
        <w:t> </w:t>
      </w:r>
      <w:r w:rsidR="00F421FC" w:rsidRPr="00A66252">
        <w:rPr>
          <w:lang w:val="fr-FR" w:eastAsia="fr-FR"/>
        </w:rPr>
        <w:t xml:space="preserve">Le requérant a fourni des informations </w:t>
      </w:r>
      <w:r w:rsidR="006445CE" w:rsidRPr="00A66252">
        <w:rPr>
          <w:lang w:val="fr-FR" w:eastAsia="fr-FR"/>
        </w:rPr>
        <w:t xml:space="preserve">médicales </w:t>
      </w:r>
      <w:r w:rsidR="003524BE" w:rsidRPr="00A66252">
        <w:rPr>
          <w:lang w:val="fr-FR" w:eastAsia="fr-FR"/>
        </w:rPr>
        <w:t>détaillées. Celles</w:t>
      </w:r>
      <w:r w:rsidR="003524BE" w:rsidRPr="00A66252">
        <w:rPr>
          <w:lang w:val="fr-FR" w:eastAsia="fr-FR"/>
        </w:rPr>
        <w:noBreakHyphen/>
      </w:r>
      <w:r w:rsidR="00F421FC" w:rsidRPr="00A66252">
        <w:rPr>
          <w:lang w:val="fr-FR" w:eastAsia="fr-FR"/>
        </w:rPr>
        <w:t>ci éman</w:t>
      </w:r>
      <w:r w:rsidR="00C57DA2" w:rsidRPr="00A66252">
        <w:rPr>
          <w:lang w:val="fr-FR" w:eastAsia="fr-FR"/>
        </w:rPr>
        <w:t>ai</w:t>
      </w:r>
      <w:r w:rsidR="00F421FC" w:rsidRPr="00A66252">
        <w:rPr>
          <w:lang w:val="fr-FR" w:eastAsia="fr-FR"/>
        </w:rPr>
        <w:t>ent du</w:t>
      </w:r>
      <w:r w:rsidR="006445CE" w:rsidRPr="00A66252">
        <w:rPr>
          <w:lang w:val="fr-FR" w:eastAsia="fr-FR"/>
        </w:rPr>
        <w:t xml:space="preserve"> docteur L.</w:t>
      </w:r>
      <w:r w:rsidR="00F421FC" w:rsidRPr="00A66252">
        <w:rPr>
          <w:lang w:val="fr-FR" w:eastAsia="fr-FR"/>
        </w:rPr>
        <w:t xml:space="preserve">, </w:t>
      </w:r>
      <w:r w:rsidR="006445CE" w:rsidRPr="00A66252">
        <w:rPr>
          <w:lang w:val="fr-FR" w:eastAsia="fr-FR"/>
        </w:rPr>
        <w:t>médecin spécialisé dans le traitement de la leucémie et responsable d</w:t>
      </w:r>
      <w:r w:rsidR="00A66252" w:rsidRPr="00A66252">
        <w:rPr>
          <w:lang w:val="fr-FR" w:eastAsia="fr-FR"/>
        </w:rPr>
        <w:t>’</w:t>
      </w:r>
      <w:r w:rsidR="006445CE" w:rsidRPr="00A66252">
        <w:rPr>
          <w:lang w:val="fr-FR" w:eastAsia="fr-FR"/>
        </w:rPr>
        <w:t>un service d</w:t>
      </w:r>
      <w:r w:rsidR="00A66252" w:rsidRPr="00A66252">
        <w:rPr>
          <w:lang w:val="fr-FR" w:eastAsia="fr-FR"/>
        </w:rPr>
        <w:t>’</w:t>
      </w:r>
      <w:r w:rsidR="006445CE" w:rsidRPr="00A66252">
        <w:rPr>
          <w:lang w:val="fr-FR" w:eastAsia="fr-FR"/>
        </w:rPr>
        <w:t>hématologie au sein d</w:t>
      </w:r>
      <w:r w:rsidR="00A66252" w:rsidRPr="00A66252">
        <w:rPr>
          <w:lang w:val="fr-FR" w:eastAsia="fr-FR"/>
        </w:rPr>
        <w:t>’</w:t>
      </w:r>
      <w:r w:rsidR="006445CE" w:rsidRPr="00A66252">
        <w:rPr>
          <w:lang w:val="fr-FR" w:eastAsia="fr-FR"/>
        </w:rPr>
        <w:t xml:space="preserve">un </w:t>
      </w:r>
      <w:r w:rsidR="006445CE" w:rsidRPr="00A66252">
        <w:rPr>
          <w:lang w:val="fr-FR"/>
        </w:rPr>
        <w:t xml:space="preserve">hôpital </w:t>
      </w:r>
      <w:r w:rsidR="006445CE" w:rsidRPr="00A66252">
        <w:rPr>
          <w:lang w:val="fr-FR"/>
        </w:rPr>
        <w:lastRenderedPageBreak/>
        <w:t xml:space="preserve">entièrement consacré aux maladies cancéreuses. </w:t>
      </w:r>
      <w:r w:rsidR="00F421FC" w:rsidRPr="00A66252">
        <w:rPr>
          <w:lang w:val="fr-FR"/>
        </w:rPr>
        <w:t>D</w:t>
      </w:r>
      <w:r w:rsidR="00A66252" w:rsidRPr="00A66252">
        <w:rPr>
          <w:lang w:val="fr-FR"/>
        </w:rPr>
        <w:t>’</w:t>
      </w:r>
      <w:r w:rsidR="00F421FC" w:rsidRPr="00A66252">
        <w:rPr>
          <w:lang w:val="fr-FR"/>
        </w:rPr>
        <w:t>après ces informations</w:t>
      </w:r>
      <w:r w:rsidR="006445CE" w:rsidRPr="00A66252">
        <w:rPr>
          <w:lang w:val="fr-FR"/>
        </w:rPr>
        <w:t xml:space="preserve">, </w:t>
      </w:r>
      <w:r w:rsidR="006445CE" w:rsidRPr="00A66252">
        <w:rPr>
          <w:lang w:val="fr-FR" w:eastAsia="fr-FR"/>
        </w:rPr>
        <w:t>l</w:t>
      </w:r>
      <w:r w:rsidR="00A66252" w:rsidRPr="00A66252">
        <w:rPr>
          <w:lang w:val="fr-FR" w:eastAsia="fr-FR"/>
        </w:rPr>
        <w:t>’</w:t>
      </w:r>
      <w:r w:rsidR="00B41340" w:rsidRPr="00A66252">
        <w:rPr>
          <w:lang w:val="fr-FR" w:eastAsia="fr-FR"/>
        </w:rPr>
        <w:t xml:space="preserve">état de santé </w:t>
      </w:r>
      <w:r w:rsidR="006445CE" w:rsidRPr="00A66252">
        <w:rPr>
          <w:lang w:val="fr-FR" w:eastAsia="fr-FR"/>
        </w:rPr>
        <w:t xml:space="preserve">du requérant </w:t>
      </w:r>
      <w:r w:rsidR="00C57DA2" w:rsidRPr="00A66252">
        <w:rPr>
          <w:lang w:val="fr-FR" w:eastAsia="fr-FR"/>
        </w:rPr>
        <w:t xml:space="preserve">était </w:t>
      </w:r>
      <w:r w:rsidR="006445CE" w:rsidRPr="00A66252">
        <w:rPr>
          <w:lang w:val="fr-FR" w:eastAsia="fr-FR"/>
        </w:rPr>
        <w:t>stabilisé grâce au traitement</w:t>
      </w:r>
      <w:r w:rsidR="00B41340" w:rsidRPr="00A66252">
        <w:rPr>
          <w:lang w:val="fr-FR" w:eastAsia="fr-FR"/>
        </w:rPr>
        <w:t xml:space="preserve"> dont il bénéfici</w:t>
      </w:r>
      <w:r w:rsidR="00C57DA2" w:rsidRPr="00A66252">
        <w:rPr>
          <w:lang w:val="fr-FR" w:eastAsia="fr-FR"/>
        </w:rPr>
        <w:t>ait</w:t>
      </w:r>
      <w:r w:rsidR="00B41340" w:rsidRPr="00A66252">
        <w:rPr>
          <w:lang w:val="fr-FR" w:eastAsia="fr-FR"/>
        </w:rPr>
        <w:t xml:space="preserve"> en Belgique. Il s</w:t>
      </w:r>
      <w:r w:rsidR="00A66252" w:rsidRPr="00A66252">
        <w:rPr>
          <w:lang w:val="fr-FR" w:eastAsia="fr-FR"/>
        </w:rPr>
        <w:t>’</w:t>
      </w:r>
      <w:r w:rsidR="00B41340" w:rsidRPr="00A66252">
        <w:rPr>
          <w:lang w:val="fr-FR" w:eastAsia="fr-FR"/>
        </w:rPr>
        <w:t>agi</w:t>
      </w:r>
      <w:r w:rsidR="00C57DA2" w:rsidRPr="00A66252">
        <w:rPr>
          <w:lang w:val="fr-FR" w:eastAsia="fr-FR"/>
        </w:rPr>
        <w:t>ssait</w:t>
      </w:r>
      <w:r w:rsidR="00B41340" w:rsidRPr="00A66252">
        <w:rPr>
          <w:lang w:val="fr-FR" w:eastAsia="fr-FR"/>
        </w:rPr>
        <w:t xml:space="preserve"> d</w:t>
      </w:r>
      <w:r w:rsidR="00A66252" w:rsidRPr="00A66252">
        <w:rPr>
          <w:lang w:val="fr-FR" w:eastAsia="fr-FR"/>
        </w:rPr>
        <w:t>’</w:t>
      </w:r>
      <w:r w:rsidR="00B41340" w:rsidRPr="00A66252">
        <w:rPr>
          <w:lang w:val="fr-FR" w:eastAsia="fr-FR"/>
        </w:rPr>
        <w:t xml:space="preserve">un traitement très ciblé </w:t>
      </w:r>
      <w:r w:rsidR="00567EBD" w:rsidRPr="00A66252">
        <w:rPr>
          <w:lang w:val="fr-FR" w:eastAsia="fr-FR"/>
        </w:rPr>
        <w:t>dont l</w:t>
      </w:r>
      <w:r w:rsidR="00A66252" w:rsidRPr="00A66252">
        <w:rPr>
          <w:lang w:val="fr-FR" w:eastAsia="fr-FR"/>
        </w:rPr>
        <w:t>’</w:t>
      </w:r>
      <w:r w:rsidR="00567EBD" w:rsidRPr="00A66252">
        <w:rPr>
          <w:lang w:val="fr-FR" w:eastAsia="fr-FR"/>
        </w:rPr>
        <w:t xml:space="preserve">objectif </w:t>
      </w:r>
      <w:r w:rsidR="00C57DA2" w:rsidRPr="00A66252">
        <w:rPr>
          <w:lang w:val="fr-FR" w:eastAsia="fr-FR"/>
        </w:rPr>
        <w:t xml:space="preserve">était </w:t>
      </w:r>
      <w:r w:rsidR="00B41340" w:rsidRPr="00A66252">
        <w:rPr>
          <w:lang w:val="fr-FR" w:eastAsia="fr-FR"/>
        </w:rPr>
        <w:t>de lui permettre d</w:t>
      </w:r>
      <w:r w:rsidR="00A66252" w:rsidRPr="00A66252">
        <w:rPr>
          <w:lang w:val="fr-FR" w:eastAsia="fr-FR"/>
        </w:rPr>
        <w:t>’</w:t>
      </w:r>
      <w:r w:rsidR="00B41340" w:rsidRPr="00A66252">
        <w:rPr>
          <w:lang w:val="fr-FR" w:eastAsia="fr-FR"/>
        </w:rPr>
        <w:t xml:space="preserve">accéder à une </w:t>
      </w:r>
      <w:r w:rsidR="00567EBD" w:rsidRPr="00A66252">
        <w:rPr>
          <w:lang w:val="fr-FR" w:eastAsia="fr-FR"/>
        </w:rPr>
        <w:t>allo</w:t>
      </w:r>
      <w:r w:rsidR="00B41340" w:rsidRPr="00A66252">
        <w:rPr>
          <w:lang w:val="fr-FR" w:eastAsia="fr-FR"/>
        </w:rPr>
        <w:t>greffe</w:t>
      </w:r>
      <w:r w:rsidR="00567EBD" w:rsidRPr="00A66252">
        <w:rPr>
          <w:lang w:val="fr-FR" w:eastAsia="fr-FR"/>
        </w:rPr>
        <w:t xml:space="preserve"> qui </w:t>
      </w:r>
      <w:r w:rsidR="00354CB5" w:rsidRPr="00A66252">
        <w:rPr>
          <w:lang w:val="fr-FR" w:eastAsia="fr-FR"/>
        </w:rPr>
        <w:t>était</w:t>
      </w:r>
      <w:r w:rsidR="00F14DF0" w:rsidRPr="00A66252">
        <w:rPr>
          <w:lang w:val="fr-FR" w:eastAsia="fr-FR"/>
        </w:rPr>
        <w:t xml:space="preserve"> </w:t>
      </w:r>
      <w:r w:rsidR="00567EBD" w:rsidRPr="00A66252">
        <w:rPr>
          <w:lang w:val="fr-FR" w:eastAsia="fr-FR"/>
        </w:rPr>
        <w:t>la dernière option curative possible</w:t>
      </w:r>
      <w:r w:rsidR="00A65195" w:rsidRPr="00A66252">
        <w:rPr>
          <w:lang w:val="fr-FR" w:eastAsia="fr-FR"/>
        </w:rPr>
        <w:t>,</w:t>
      </w:r>
      <w:r w:rsidR="00567EBD" w:rsidRPr="00A66252">
        <w:rPr>
          <w:lang w:val="fr-FR" w:eastAsia="fr-FR"/>
        </w:rPr>
        <w:t xml:space="preserve"> à condition d</w:t>
      </w:r>
      <w:r w:rsidR="00A66252" w:rsidRPr="00A66252">
        <w:rPr>
          <w:lang w:val="fr-FR" w:eastAsia="fr-FR"/>
        </w:rPr>
        <w:t>’</w:t>
      </w:r>
      <w:r w:rsidR="00567EBD" w:rsidRPr="00A66252">
        <w:rPr>
          <w:lang w:val="fr-FR" w:eastAsia="fr-FR"/>
        </w:rPr>
        <w:t>être réalisée dans des délais assez brefs.</w:t>
      </w:r>
      <w:r w:rsidR="00B41340" w:rsidRPr="00A66252">
        <w:rPr>
          <w:lang w:val="fr-FR" w:eastAsia="fr-FR"/>
        </w:rPr>
        <w:t xml:space="preserve"> </w:t>
      </w:r>
      <w:r w:rsidR="00567EBD" w:rsidRPr="00A66252">
        <w:rPr>
          <w:lang w:val="fr-FR" w:eastAsia="fr-FR"/>
        </w:rPr>
        <w:t>Si le traitement dont bénéfici</w:t>
      </w:r>
      <w:r w:rsidR="00C57DA2" w:rsidRPr="00A66252">
        <w:rPr>
          <w:lang w:val="fr-FR" w:eastAsia="fr-FR"/>
        </w:rPr>
        <w:t>ait</w:t>
      </w:r>
      <w:r w:rsidR="00567EBD" w:rsidRPr="00A66252">
        <w:rPr>
          <w:lang w:val="fr-FR" w:eastAsia="fr-FR"/>
        </w:rPr>
        <w:t xml:space="preserve"> le requérant </w:t>
      </w:r>
      <w:r w:rsidR="00C57DA2" w:rsidRPr="00A66252">
        <w:rPr>
          <w:lang w:val="fr-FR" w:eastAsia="fr-FR"/>
        </w:rPr>
        <w:t>av</w:t>
      </w:r>
      <w:r w:rsidR="00B03373" w:rsidRPr="00A66252">
        <w:rPr>
          <w:lang w:val="fr-FR" w:eastAsia="fr-FR"/>
        </w:rPr>
        <w:t>a</w:t>
      </w:r>
      <w:r w:rsidR="00C57DA2" w:rsidRPr="00A66252">
        <w:rPr>
          <w:lang w:val="fr-FR" w:eastAsia="fr-FR"/>
        </w:rPr>
        <w:t xml:space="preserve">it dû </w:t>
      </w:r>
      <w:r w:rsidR="00567EBD" w:rsidRPr="00A66252">
        <w:rPr>
          <w:lang w:val="fr-FR" w:eastAsia="fr-FR"/>
        </w:rPr>
        <w:t xml:space="preserve">être interrompu, son espérance de vie moyenne </w:t>
      </w:r>
      <w:r w:rsidR="00C57DA2" w:rsidRPr="00A66252">
        <w:rPr>
          <w:lang w:val="fr-FR" w:eastAsia="fr-FR"/>
        </w:rPr>
        <w:t xml:space="preserve">aurait été </w:t>
      </w:r>
      <w:r w:rsidR="00567EBD" w:rsidRPr="00A66252">
        <w:rPr>
          <w:lang w:val="fr-FR" w:eastAsia="fr-FR"/>
        </w:rPr>
        <w:t>inférieure à six mois</w:t>
      </w:r>
      <w:r w:rsidR="0095492F" w:rsidRPr="00A66252">
        <w:rPr>
          <w:lang w:val="fr-FR" w:eastAsia="fr-FR"/>
        </w:rPr>
        <w:t xml:space="preserve"> (voir paragraphe</w:t>
      </w:r>
      <w:r w:rsidR="0070474E" w:rsidRPr="00A66252">
        <w:rPr>
          <w:lang w:val="fr-FR" w:eastAsia="fr-FR"/>
        </w:rPr>
        <w:t> </w:t>
      </w:r>
      <w:r w:rsidR="0095492F" w:rsidRPr="00A66252">
        <w:rPr>
          <w:lang w:val="fr-FR" w:eastAsia="fr-FR"/>
        </w:rPr>
        <w:fldChar w:fldCharType="begin"/>
      </w:r>
      <w:r w:rsidR="0095492F" w:rsidRPr="00A66252">
        <w:rPr>
          <w:lang w:val="fr-FR" w:eastAsia="fr-FR"/>
        </w:rPr>
        <w:instrText xml:space="preserve"> REF LIFEEXP \h </w:instrText>
      </w:r>
      <w:r w:rsidR="00C93FE5" w:rsidRPr="00A66252">
        <w:rPr>
          <w:lang w:val="fr-FR" w:eastAsia="fr-FR"/>
        </w:rPr>
        <w:instrText xml:space="preserve"> \* MERGEFORMAT </w:instrText>
      </w:r>
      <w:r w:rsidR="0095492F" w:rsidRPr="00A66252">
        <w:rPr>
          <w:lang w:val="fr-FR" w:eastAsia="fr-FR"/>
        </w:rPr>
      </w:r>
      <w:r w:rsidR="0095492F" w:rsidRPr="00A66252">
        <w:rPr>
          <w:lang w:val="fr-FR" w:eastAsia="fr-FR"/>
        </w:rPr>
        <w:fldChar w:fldCharType="separate"/>
      </w:r>
      <w:r w:rsidR="00A66252" w:rsidRPr="00A66252">
        <w:rPr>
          <w:noProof/>
          <w:lang w:val="fr-FR"/>
        </w:rPr>
        <w:t>46</w:t>
      </w:r>
      <w:r w:rsidR="0095492F" w:rsidRPr="00A66252">
        <w:rPr>
          <w:lang w:val="fr-FR" w:eastAsia="fr-FR"/>
        </w:rPr>
        <w:fldChar w:fldCharType="end"/>
      </w:r>
      <w:r w:rsidR="00092019" w:rsidRPr="00A66252">
        <w:rPr>
          <w:lang w:val="fr-FR" w:eastAsia="fr-FR"/>
        </w:rPr>
        <w:t>, ci-dessus</w:t>
      </w:r>
      <w:r w:rsidR="0095492F" w:rsidRPr="00A66252">
        <w:rPr>
          <w:lang w:val="fr-FR" w:eastAsia="fr-FR"/>
        </w:rPr>
        <w:t>)</w:t>
      </w:r>
      <w:r w:rsidR="00567EBD" w:rsidRPr="00A66252">
        <w:rPr>
          <w:lang w:val="fr-FR" w:eastAsia="fr-FR"/>
        </w:rPr>
        <w:t>.</w:t>
      </w:r>
    </w:p>
    <w:p w:rsidR="006D7129" w:rsidRPr="00A66252" w:rsidRDefault="00792530" w:rsidP="00A66252">
      <w:pPr>
        <w:pStyle w:val="ECHRPara"/>
        <w:rPr>
          <w:strike/>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196</w:t>
      </w:r>
      <w:r w:rsidRPr="00A66252">
        <w:rPr>
          <w:lang w:val="fr-FR" w:eastAsia="fr-FR"/>
        </w:rPr>
        <w:fldChar w:fldCharType="end"/>
      </w:r>
      <w:r w:rsidRPr="00A66252">
        <w:rPr>
          <w:lang w:val="fr-FR" w:eastAsia="fr-FR"/>
        </w:rPr>
        <w:t>.  </w:t>
      </w:r>
      <w:r w:rsidR="006445CE" w:rsidRPr="00A66252">
        <w:rPr>
          <w:lang w:val="fr-FR" w:eastAsia="fr-FR"/>
        </w:rPr>
        <w:t>Le</w:t>
      </w:r>
      <w:r w:rsidR="006D7129" w:rsidRPr="00A66252">
        <w:rPr>
          <w:lang w:val="fr-FR" w:eastAsia="fr-FR"/>
        </w:rPr>
        <w:t xml:space="preserve"> médecin conseil de l</w:t>
      </w:r>
      <w:r w:rsidR="00A66252" w:rsidRPr="00A66252">
        <w:rPr>
          <w:lang w:val="fr-FR" w:eastAsia="fr-FR"/>
        </w:rPr>
        <w:t>’</w:t>
      </w:r>
      <w:r w:rsidR="006D7129" w:rsidRPr="00A66252">
        <w:rPr>
          <w:lang w:val="fr-FR" w:eastAsia="fr-FR"/>
        </w:rPr>
        <w:t xml:space="preserve">OE </w:t>
      </w:r>
      <w:r w:rsidR="00FA6038" w:rsidRPr="00A66252">
        <w:rPr>
          <w:lang w:val="fr-FR" w:eastAsia="fr-FR"/>
        </w:rPr>
        <w:t>a</w:t>
      </w:r>
      <w:r w:rsidR="00B03373" w:rsidRPr="00A66252">
        <w:rPr>
          <w:lang w:val="fr-FR" w:eastAsia="fr-FR"/>
        </w:rPr>
        <w:t>vait</w:t>
      </w:r>
      <w:r w:rsidR="00FA6038" w:rsidRPr="00A66252">
        <w:rPr>
          <w:lang w:val="fr-FR" w:eastAsia="fr-FR"/>
        </w:rPr>
        <w:t xml:space="preserve"> </w:t>
      </w:r>
      <w:r w:rsidR="00B32D6C" w:rsidRPr="00A66252">
        <w:rPr>
          <w:lang w:val="fr-FR" w:eastAsia="fr-FR"/>
        </w:rPr>
        <w:t>souligné, dans un rapport du 23 </w:t>
      </w:r>
      <w:r w:rsidR="00FA6038" w:rsidRPr="00A66252">
        <w:rPr>
          <w:lang w:val="fr-FR" w:eastAsia="fr-FR"/>
        </w:rPr>
        <w:t>juin 2015,</w:t>
      </w:r>
      <w:r w:rsidR="006445CE" w:rsidRPr="00A66252">
        <w:rPr>
          <w:lang w:val="fr-FR" w:eastAsia="fr-FR"/>
        </w:rPr>
        <w:t xml:space="preserve"> que</w:t>
      </w:r>
      <w:r w:rsidR="006D7129" w:rsidRPr="00A66252">
        <w:rPr>
          <w:lang w:val="fr-FR" w:eastAsia="fr-FR"/>
        </w:rPr>
        <w:t xml:space="preserve"> </w:t>
      </w:r>
      <w:r w:rsidR="004069B9" w:rsidRPr="00A66252">
        <w:rPr>
          <w:lang w:val="fr-FR" w:eastAsia="fr-FR"/>
        </w:rPr>
        <w:t>l</w:t>
      </w:r>
      <w:r w:rsidR="006D7129" w:rsidRPr="00A66252">
        <w:rPr>
          <w:lang w:val="fr-FR" w:eastAsia="fr-FR"/>
        </w:rPr>
        <w:t xml:space="preserve">es informations </w:t>
      </w:r>
      <w:r w:rsidR="004069B9" w:rsidRPr="00A66252">
        <w:rPr>
          <w:lang w:val="fr-FR" w:eastAsia="fr-FR"/>
        </w:rPr>
        <w:t xml:space="preserve">médicales relatives au requérant </w:t>
      </w:r>
      <w:r w:rsidR="006D7129" w:rsidRPr="00A66252">
        <w:rPr>
          <w:lang w:val="fr-FR" w:eastAsia="fr-FR"/>
        </w:rPr>
        <w:t>ne mett</w:t>
      </w:r>
      <w:r w:rsidR="00B03373" w:rsidRPr="00A66252">
        <w:rPr>
          <w:lang w:val="fr-FR" w:eastAsia="fr-FR"/>
        </w:rPr>
        <w:t>ai</w:t>
      </w:r>
      <w:r w:rsidR="006D7129" w:rsidRPr="00A66252">
        <w:rPr>
          <w:lang w:val="fr-FR" w:eastAsia="fr-FR"/>
        </w:rPr>
        <w:t>ent pas en é</w:t>
      </w:r>
      <w:r w:rsidR="006445CE" w:rsidRPr="00A66252">
        <w:rPr>
          <w:lang w:val="fr-FR" w:eastAsia="fr-FR"/>
        </w:rPr>
        <w:t>vidence de menace directe pour s</w:t>
      </w:r>
      <w:r w:rsidR="006D7129" w:rsidRPr="00A66252">
        <w:rPr>
          <w:lang w:val="fr-FR" w:eastAsia="fr-FR"/>
        </w:rPr>
        <w:t>a vie</w:t>
      </w:r>
      <w:r w:rsidR="00A65195" w:rsidRPr="00A66252">
        <w:rPr>
          <w:lang w:val="fr-FR" w:eastAsia="fr-FR"/>
        </w:rPr>
        <w:t>,</w:t>
      </w:r>
      <w:r w:rsidR="006D7129" w:rsidRPr="00A66252">
        <w:rPr>
          <w:lang w:val="fr-FR" w:eastAsia="fr-FR"/>
        </w:rPr>
        <w:t xml:space="preserve"> ni qu</w:t>
      </w:r>
      <w:r w:rsidR="00A66252" w:rsidRPr="00A66252">
        <w:rPr>
          <w:lang w:val="fr-FR" w:eastAsia="fr-FR"/>
        </w:rPr>
        <w:t>’</w:t>
      </w:r>
      <w:r w:rsidR="006D7129" w:rsidRPr="00A66252">
        <w:rPr>
          <w:lang w:val="fr-FR" w:eastAsia="fr-FR"/>
        </w:rPr>
        <w:t xml:space="preserve">il </w:t>
      </w:r>
      <w:r w:rsidR="00B03373" w:rsidRPr="00A66252">
        <w:rPr>
          <w:lang w:val="fr-FR" w:eastAsia="fr-FR"/>
        </w:rPr>
        <w:t xml:space="preserve">aurait été </w:t>
      </w:r>
      <w:r w:rsidR="006D7129" w:rsidRPr="00A66252">
        <w:rPr>
          <w:lang w:val="fr-FR" w:eastAsia="fr-FR"/>
        </w:rPr>
        <w:t>dans un état de santé critique</w:t>
      </w:r>
      <w:r w:rsidR="000C7DF9" w:rsidRPr="00A66252">
        <w:rPr>
          <w:lang w:val="fr-FR" w:eastAsia="fr-FR"/>
        </w:rPr>
        <w:t xml:space="preserve"> (voir paragraphe </w:t>
      </w:r>
      <w:r w:rsidR="008631B1" w:rsidRPr="00A66252">
        <w:rPr>
          <w:lang w:val="fr-FR" w:eastAsia="fr-FR"/>
        </w:rPr>
        <w:fldChar w:fldCharType="begin"/>
      </w:r>
      <w:r w:rsidR="008631B1" w:rsidRPr="00A66252">
        <w:rPr>
          <w:lang w:val="fr-FR" w:eastAsia="fr-FR"/>
        </w:rPr>
        <w:instrText xml:space="preserve"> REF OERAPMED0615 \h </w:instrText>
      </w:r>
      <w:r w:rsidR="00C93FE5" w:rsidRPr="00A66252">
        <w:rPr>
          <w:lang w:val="fr-FR" w:eastAsia="fr-FR"/>
        </w:rPr>
        <w:instrText xml:space="preserve"> \* MERGEFORMAT </w:instrText>
      </w:r>
      <w:r w:rsidR="008631B1" w:rsidRPr="00A66252">
        <w:rPr>
          <w:lang w:val="fr-FR" w:eastAsia="fr-FR"/>
        </w:rPr>
      </w:r>
      <w:r w:rsidR="008631B1" w:rsidRPr="00A66252">
        <w:rPr>
          <w:lang w:val="fr-FR" w:eastAsia="fr-FR"/>
        </w:rPr>
        <w:fldChar w:fldCharType="separate"/>
      </w:r>
      <w:r w:rsidR="00A66252" w:rsidRPr="00A66252">
        <w:rPr>
          <w:noProof/>
          <w:lang w:val="fr-FR"/>
        </w:rPr>
        <w:t>68</w:t>
      </w:r>
      <w:r w:rsidR="008631B1" w:rsidRPr="00A66252">
        <w:rPr>
          <w:lang w:val="fr-FR" w:eastAsia="fr-FR"/>
        </w:rPr>
        <w:fldChar w:fldCharType="end"/>
      </w:r>
      <w:r w:rsidR="000C7DF9" w:rsidRPr="00A66252">
        <w:rPr>
          <w:lang w:val="fr-FR" w:eastAsia="fr-FR"/>
        </w:rPr>
        <w:t>, ci-dessus)</w:t>
      </w:r>
      <w:r w:rsidR="0070474E" w:rsidRPr="00A66252">
        <w:rPr>
          <w:lang w:val="fr-FR" w:eastAsia="fr-FR"/>
        </w:rPr>
        <w:t>.</w:t>
      </w:r>
    </w:p>
    <w:p w:rsidR="00A66252" w:rsidRPr="00A66252" w:rsidRDefault="00B60615" w:rsidP="00A66252">
      <w:pPr>
        <w:pStyle w:val="ECHRPara"/>
        <w:rPr>
          <w:rFonts w:cstheme="minorHAnsi"/>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197</w:t>
      </w:r>
      <w:r w:rsidRPr="00A66252">
        <w:rPr>
          <w:lang w:val="fr-FR" w:eastAsia="fr-FR"/>
        </w:rPr>
        <w:fldChar w:fldCharType="end"/>
      </w:r>
      <w:r w:rsidRPr="00A66252">
        <w:rPr>
          <w:lang w:val="fr-FR" w:eastAsia="fr-FR"/>
        </w:rPr>
        <w:t>.  </w:t>
      </w:r>
      <w:r w:rsidR="0068165B" w:rsidRPr="00A66252">
        <w:rPr>
          <w:lang w:val="fr-FR" w:eastAsia="fr-FR"/>
        </w:rPr>
        <w:t>L</w:t>
      </w:r>
      <w:r w:rsidR="002C2217" w:rsidRPr="00A66252">
        <w:rPr>
          <w:lang w:val="fr-FR" w:eastAsia="fr-FR"/>
        </w:rPr>
        <w:t>e requérant</w:t>
      </w:r>
      <w:r w:rsidR="0068165B" w:rsidRPr="00A66252">
        <w:rPr>
          <w:lang w:val="fr-FR" w:eastAsia="fr-FR"/>
        </w:rPr>
        <w:t xml:space="preserve"> </w:t>
      </w:r>
      <w:r w:rsidR="00E66923" w:rsidRPr="00A66252">
        <w:rPr>
          <w:lang w:val="fr-FR" w:eastAsia="fr-FR"/>
        </w:rPr>
        <w:t>fai</w:t>
      </w:r>
      <w:r w:rsidR="00B03373" w:rsidRPr="00A66252">
        <w:rPr>
          <w:lang w:val="fr-FR" w:eastAsia="fr-FR"/>
        </w:rPr>
        <w:t>sai</w:t>
      </w:r>
      <w:r w:rsidR="00E66923" w:rsidRPr="00A66252">
        <w:rPr>
          <w:lang w:val="fr-FR" w:eastAsia="fr-FR"/>
        </w:rPr>
        <w:t>t valoir</w:t>
      </w:r>
      <w:r w:rsidR="0068165B" w:rsidRPr="00A66252">
        <w:rPr>
          <w:lang w:val="fr-FR" w:eastAsia="fr-FR"/>
        </w:rPr>
        <w:t xml:space="preserve"> que</w:t>
      </w:r>
      <w:r w:rsidR="005B3B0F" w:rsidRPr="00A66252">
        <w:rPr>
          <w:lang w:val="fr-FR" w:eastAsia="fr-FR"/>
        </w:rPr>
        <w:t>,</w:t>
      </w:r>
      <w:r w:rsidR="0068165B" w:rsidRPr="00A66252">
        <w:rPr>
          <w:lang w:val="fr-FR" w:eastAsia="fr-FR"/>
        </w:rPr>
        <w:t xml:space="preserve"> d</w:t>
      </w:r>
      <w:r w:rsidR="00A66252" w:rsidRPr="00A66252">
        <w:rPr>
          <w:lang w:val="fr-FR" w:eastAsia="fr-FR"/>
        </w:rPr>
        <w:t>’</w:t>
      </w:r>
      <w:r w:rsidR="0068165B" w:rsidRPr="00A66252">
        <w:rPr>
          <w:lang w:val="fr-FR" w:eastAsia="fr-FR"/>
        </w:rPr>
        <w:t xml:space="preserve">après les informations à la disposition du docteur L., le traitement </w:t>
      </w:r>
      <w:r w:rsidR="006445CE" w:rsidRPr="00A66252">
        <w:rPr>
          <w:lang w:val="fr-FR" w:eastAsia="fr-FR"/>
        </w:rPr>
        <w:t xml:space="preserve">dont </w:t>
      </w:r>
      <w:r w:rsidR="00F14DF0" w:rsidRPr="00A66252">
        <w:rPr>
          <w:lang w:val="fr-FR" w:eastAsia="fr-FR"/>
        </w:rPr>
        <w:t xml:space="preserve">il </w:t>
      </w:r>
      <w:r w:rsidR="006445CE" w:rsidRPr="00A66252">
        <w:rPr>
          <w:lang w:val="fr-FR" w:eastAsia="fr-FR"/>
        </w:rPr>
        <w:t>bénéfici</w:t>
      </w:r>
      <w:r w:rsidR="00B03373" w:rsidRPr="00A66252">
        <w:rPr>
          <w:lang w:val="fr-FR" w:eastAsia="fr-FR"/>
        </w:rPr>
        <w:t>ait</w:t>
      </w:r>
      <w:r w:rsidR="006445CE" w:rsidRPr="00A66252">
        <w:rPr>
          <w:lang w:val="fr-FR" w:eastAsia="fr-FR"/>
        </w:rPr>
        <w:t xml:space="preserve"> en Belgique</w:t>
      </w:r>
      <w:r w:rsidR="0068165B" w:rsidRPr="00A66252">
        <w:rPr>
          <w:lang w:val="fr-FR" w:eastAsia="fr-FR"/>
        </w:rPr>
        <w:t xml:space="preserve"> et l</w:t>
      </w:r>
      <w:r w:rsidR="00A66252" w:rsidRPr="00A66252">
        <w:rPr>
          <w:lang w:val="fr-FR" w:eastAsia="fr-FR"/>
        </w:rPr>
        <w:t>’</w:t>
      </w:r>
      <w:r w:rsidR="0068165B" w:rsidRPr="00A66252">
        <w:rPr>
          <w:lang w:val="fr-FR" w:eastAsia="fr-FR"/>
        </w:rPr>
        <w:t xml:space="preserve">allogreffe </w:t>
      </w:r>
      <w:r w:rsidR="00B03373" w:rsidRPr="00A66252">
        <w:rPr>
          <w:lang w:val="fr-FR" w:eastAsia="fr-FR"/>
        </w:rPr>
        <w:t>n</w:t>
      </w:r>
      <w:r w:rsidR="00A66252" w:rsidRPr="00A66252">
        <w:rPr>
          <w:lang w:val="fr-FR" w:eastAsia="fr-FR"/>
        </w:rPr>
        <w:t>’</w:t>
      </w:r>
      <w:r w:rsidR="00B03373" w:rsidRPr="00A66252">
        <w:rPr>
          <w:lang w:val="fr-FR" w:eastAsia="fr-FR"/>
        </w:rPr>
        <w:t>étaient</w:t>
      </w:r>
      <w:r w:rsidR="0068165B" w:rsidRPr="00A66252">
        <w:rPr>
          <w:lang w:val="fr-FR" w:eastAsia="fr-FR"/>
        </w:rPr>
        <w:t xml:space="preserve"> pas disponibles en Géorgie. Quant aux autres formes de traitement de la leucémie disponibles en Géorgie, il sout</w:t>
      </w:r>
      <w:r w:rsidR="00B03373" w:rsidRPr="00A66252">
        <w:rPr>
          <w:lang w:val="fr-FR" w:eastAsia="fr-FR"/>
        </w:rPr>
        <w:t>enait</w:t>
      </w:r>
      <w:r w:rsidR="0068165B" w:rsidRPr="00A66252">
        <w:rPr>
          <w:lang w:val="fr-FR" w:eastAsia="fr-FR"/>
        </w:rPr>
        <w:t xml:space="preserve"> qu</w:t>
      </w:r>
      <w:r w:rsidR="00A66252" w:rsidRPr="00A66252">
        <w:rPr>
          <w:lang w:val="fr-FR" w:eastAsia="fr-FR"/>
        </w:rPr>
        <w:t>’</w:t>
      </w:r>
      <w:r w:rsidR="0068165B" w:rsidRPr="00A66252">
        <w:rPr>
          <w:lang w:val="fr-FR" w:eastAsia="fr-FR"/>
        </w:rPr>
        <w:t>il n</w:t>
      </w:r>
      <w:r w:rsidR="00A66252" w:rsidRPr="00A66252">
        <w:rPr>
          <w:lang w:val="fr-FR" w:eastAsia="fr-FR"/>
        </w:rPr>
        <w:t>’</w:t>
      </w:r>
      <w:r w:rsidR="0068165B" w:rsidRPr="00A66252">
        <w:rPr>
          <w:lang w:val="fr-FR" w:eastAsia="fr-FR"/>
        </w:rPr>
        <w:t>a</w:t>
      </w:r>
      <w:r w:rsidR="00304E45" w:rsidRPr="00A66252">
        <w:rPr>
          <w:lang w:val="fr-FR" w:eastAsia="fr-FR"/>
        </w:rPr>
        <w:t>vait</w:t>
      </w:r>
      <w:r w:rsidR="0068165B" w:rsidRPr="00A66252">
        <w:rPr>
          <w:lang w:val="fr-FR" w:eastAsia="fr-FR"/>
        </w:rPr>
        <w:t xml:space="preserve"> aucune garantie </w:t>
      </w:r>
      <w:r w:rsidR="005B3B0F" w:rsidRPr="00A66252">
        <w:rPr>
          <w:lang w:val="fr-FR" w:eastAsia="fr-FR"/>
        </w:rPr>
        <w:t>d</w:t>
      </w:r>
      <w:r w:rsidR="00A66252" w:rsidRPr="00A66252">
        <w:rPr>
          <w:lang w:val="fr-FR" w:eastAsia="fr-FR"/>
        </w:rPr>
        <w:t>’</w:t>
      </w:r>
      <w:r w:rsidR="005B3B0F" w:rsidRPr="00A66252">
        <w:rPr>
          <w:lang w:val="fr-FR" w:eastAsia="fr-FR"/>
        </w:rPr>
        <w:t>y avoir</w:t>
      </w:r>
      <w:r w:rsidR="0068165B" w:rsidRPr="00A66252">
        <w:rPr>
          <w:lang w:val="fr-FR" w:eastAsia="fr-FR"/>
        </w:rPr>
        <w:t xml:space="preserve"> accès</w:t>
      </w:r>
      <w:r w:rsidR="00A65195" w:rsidRPr="00A66252">
        <w:rPr>
          <w:lang w:val="fr-FR" w:eastAsia="fr-FR"/>
        </w:rPr>
        <w:t>,</w:t>
      </w:r>
      <w:r w:rsidR="0068165B" w:rsidRPr="00A66252">
        <w:rPr>
          <w:lang w:val="fr-FR" w:eastAsia="fr-FR"/>
        </w:rPr>
        <w:t xml:space="preserve"> en raison des défaillances du système </w:t>
      </w:r>
      <w:r w:rsidR="005B3B0F" w:rsidRPr="00A66252">
        <w:rPr>
          <w:lang w:val="fr-FR" w:eastAsia="fr-FR"/>
        </w:rPr>
        <w:t xml:space="preserve">géorgien </w:t>
      </w:r>
      <w:r w:rsidR="0068165B" w:rsidRPr="00A66252">
        <w:rPr>
          <w:lang w:val="fr-FR" w:eastAsia="fr-FR"/>
        </w:rPr>
        <w:t>d</w:t>
      </w:r>
      <w:r w:rsidR="00A66252" w:rsidRPr="00A66252">
        <w:rPr>
          <w:lang w:val="fr-FR" w:eastAsia="fr-FR"/>
        </w:rPr>
        <w:t>’</w:t>
      </w:r>
      <w:r w:rsidR="0068165B" w:rsidRPr="00A66252">
        <w:rPr>
          <w:lang w:val="fr-FR" w:eastAsia="fr-FR"/>
        </w:rPr>
        <w:t>assurance sociale</w:t>
      </w:r>
      <w:r w:rsidR="00BF645E" w:rsidRPr="00A66252">
        <w:rPr>
          <w:lang w:val="fr-FR" w:eastAsia="fr-FR"/>
        </w:rPr>
        <w:t xml:space="preserve"> (voir paragraphe</w:t>
      </w:r>
      <w:r w:rsidR="00FA6038" w:rsidRPr="00A66252">
        <w:rPr>
          <w:lang w:val="fr-FR" w:eastAsia="fr-FR"/>
        </w:rPr>
        <w:t xml:space="preserve"> </w:t>
      </w:r>
      <w:r w:rsidR="002B680D" w:rsidRPr="00A66252">
        <w:rPr>
          <w:lang w:val="fr-FR" w:eastAsia="fr-FR"/>
        </w:rPr>
        <w:fldChar w:fldCharType="begin"/>
      </w:r>
      <w:r w:rsidR="002B680D" w:rsidRPr="00A66252">
        <w:rPr>
          <w:lang w:val="fr-FR" w:eastAsia="fr-FR"/>
        </w:rPr>
        <w:instrText xml:space="preserve"> REF ABSOINSGEO \h  \* MERGEFORMAT </w:instrText>
      </w:r>
      <w:r w:rsidR="002B680D" w:rsidRPr="00A66252">
        <w:rPr>
          <w:lang w:val="fr-FR" w:eastAsia="fr-FR"/>
        </w:rPr>
      </w:r>
      <w:r w:rsidR="002B680D" w:rsidRPr="00A66252">
        <w:rPr>
          <w:lang w:val="fr-FR" w:eastAsia="fr-FR"/>
        </w:rPr>
        <w:fldChar w:fldCharType="separate"/>
      </w:r>
      <w:r w:rsidR="00A66252" w:rsidRPr="00A66252">
        <w:rPr>
          <w:noProof/>
          <w:lang w:val="fr-FR" w:eastAsia="fr-FR"/>
        </w:rPr>
        <w:t>141</w:t>
      </w:r>
      <w:r w:rsidR="002B680D" w:rsidRPr="00A66252">
        <w:rPr>
          <w:lang w:val="fr-FR" w:eastAsia="fr-FR"/>
        </w:rPr>
        <w:fldChar w:fldCharType="end"/>
      </w:r>
      <w:r w:rsidR="00BF645E" w:rsidRPr="00A66252">
        <w:rPr>
          <w:lang w:val="fr-FR" w:eastAsia="fr-FR"/>
        </w:rPr>
        <w:t>, ci-dessus)</w:t>
      </w:r>
      <w:r w:rsidR="0068165B" w:rsidRPr="00A66252">
        <w:rPr>
          <w:lang w:val="fr-FR" w:eastAsia="fr-FR"/>
        </w:rPr>
        <w:t>.</w:t>
      </w:r>
      <w:r w:rsidR="009948B9" w:rsidRPr="00A66252">
        <w:rPr>
          <w:lang w:val="fr-FR" w:eastAsia="fr-FR"/>
        </w:rPr>
        <w:t xml:space="preserve"> </w:t>
      </w:r>
      <w:r w:rsidR="00AF6E9E" w:rsidRPr="00A66252">
        <w:rPr>
          <w:lang w:val="fr-FR" w:eastAsia="fr-FR"/>
        </w:rPr>
        <w:t>De l</w:t>
      </w:r>
      <w:r w:rsidR="00A66252" w:rsidRPr="00A66252">
        <w:rPr>
          <w:lang w:val="fr-FR" w:eastAsia="fr-FR"/>
        </w:rPr>
        <w:t>’</w:t>
      </w:r>
      <w:r w:rsidR="00AF6E9E" w:rsidRPr="00A66252">
        <w:rPr>
          <w:lang w:val="fr-FR" w:eastAsia="fr-FR"/>
        </w:rPr>
        <w:t xml:space="preserve">avis de la Cour, ces affirmations </w:t>
      </w:r>
      <w:r w:rsidR="00304E45" w:rsidRPr="00A66252">
        <w:rPr>
          <w:lang w:val="fr-FR" w:eastAsia="fr-FR"/>
        </w:rPr>
        <w:t>ne sont</w:t>
      </w:r>
      <w:r w:rsidR="00AF6E9E" w:rsidRPr="00A66252">
        <w:rPr>
          <w:lang w:val="fr-FR" w:eastAsia="fr-FR"/>
        </w:rPr>
        <w:t xml:space="preserve"> pas </w:t>
      </w:r>
      <w:proofErr w:type="spellStart"/>
      <w:r w:rsidR="00AF6E9E" w:rsidRPr="00A66252">
        <w:rPr>
          <w:lang w:val="fr-FR" w:eastAsia="fr-FR"/>
        </w:rPr>
        <w:t>denu</w:t>
      </w:r>
      <w:r w:rsidR="00AF6E9E" w:rsidRPr="00A66252">
        <w:rPr>
          <w:rFonts w:cstheme="minorHAnsi"/>
          <w:lang w:val="fr-FR" w:eastAsia="fr-FR"/>
        </w:rPr>
        <w:t>é</w:t>
      </w:r>
      <w:r w:rsidR="00AF6E9E" w:rsidRPr="00A66252">
        <w:rPr>
          <w:lang w:val="fr-FR" w:eastAsia="fr-FR"/>
        </w:rPr>
        <w:t>es</w:t>
      </w:r>
      <w:proofErr w:type="spellEnd"/>
      <w:r w:rsidR="00AF6E9E" w:rsidRPr="00A66252">
        <w:rPr>
          <w:lang w:val="fr-FR" w:eastAsia="fr-FR"/>
        </w:rPr>
        <w:t xml:space="preserve"> de toute cr</w:t>
      </w:r>
      <w:r w:rsidR="00AF6E9E" w:rsidRPr="00A66252">
        <w:rPr>
          <w:rFonts w:cstheme="minorHAnsi"/>
          <w:lang w:val="fr-FR" w:eastAsia="fr-FR"/>
        </w:rPr>
        <w:t>édibilité.</w:t>
      </w:r>
    </w:p>
    <w:p w:rsidR="00A66252" w:rsidRPr="00A66252" w:rsidRDefault="003D09B9"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198</w:t>
      </w:r>
      <w:r w:rsidRPr="00A66252">
        <w:rPr>
          <w:lang w:val="fr-FR" w:eastAsia="fr-FR"/>
        </w:rPr>
        <w:fldChar w:fldCharType="end"/>
      </w:r>
      <w:r w:rsidRPr="00A66252">
        <w:rPr>
          <w:lang w:val="fr-FR" w:eastAsia="fr-FR"/>
        </w:rPr>
        <w:t>.  </w:t>
      </w:r>
      <w:r w:rsidR="00B41340" w:rsidRPr="00A66252">
        <w:rPr>
          <w:lang w:val="fr-FR" w:eastAsia="fr-FR"/>
        </w:rPr>
        <w:t>La Cour constate que</w:t>
      </w:r>
      <w:r w:rsidR="0075093A" w:rsidRPr="00A66252">
        <w:rPr>
          <w:lang w:val="fr-FR" w:eastAsia="fr-FR"/>
        </w:rPr>
        <w:t>,</w:t>
      </w:r>
      <w:r w:rsidR="00B41340" w:rsidRPr="00A66252">
        <w:rPr>
          <w:lang w:val="fr-FR" w:eastAsia="fr-FR"/>
        </w:rPr>
        <w:t xml:space="preserve"> </w:t>
      </w:r>
      <w:r w:rsidR="0075093A" w:rsidRPr="00A66252">
        <w:rPr>
          <w:lang w:val="fr-FR" w:eastAsia="fr-FR"/>
        </w:rPr>
        <w:t xml:space="preserve">le 10 septembre 2007 et le 2 avril 2008, </w:t>
      </w:r>
      <w:r w:rsidR="00B41340" w:rsidRPr="00A66252">
        <w:rPr>
          <w:lang w:val="fr-FR" w:eastAsia="fr-FR"/>
        </w:rPr>
        <w:t>le</w:t>
      </w:r>
      <w:r w:rsidR="00277A64" w:rsidRPr="00A66252">
        <w:rPr>
          <w:lang w:val="fr-FR" w:eastAsia="fr-FR"/>
        </w:rPr>
        <w:t xml:space="preserve"> requérant </w:t>
      </w:r>
      <w:r w:rsidR="00304E45" w:rsidRPr="00A66252">
        <w:rPr>
          <w:lang w:val="fr-FR" w:eastAsia="fr-FR"/>
        </w:rPr>
        <w:t xml:space="preserve">a </w:t>
      </w:r>
      <w:r w:rsidR="00277A64" w:rsidRPr="00A66252">
        <w:rPr>
          <w:lang w:val="fr-FR" w:eastAsia="fr-FR"/>
        </w:rPr>
        <w:t>fait deux demandes d</w:t>
      </w:r>
      <w:r w:rsidR="00A66252" w:rsidRPr="00A66252">
        <w:rPr>
          <w:lang w:val="fr-FR" w:eastAsia="fr-FR"/>
        </w:rPr>
        <w:t>’</w:t>
      </w:r>
      <w:r w:rsidR="00277A64" w:rsidRPr="00A66252">
        <w:rPr>
          <w:lang w:val="fr-FR" w:eastAsia="fr-FR"/>
        </w:rPr>
        <w:t>autorisation de régularisation de son séjour en Belgique pour raisons médicales</w:t>
      </w:r>
      <w:r w:rsidR="00B87CF6" w:rsidRPr="00A66252">
        <w:rPr>
          <w:lang w:val="fr-FR" w:eastAsia="fr-FR"/>
        </w:rPr>
        <w:t xml:space="preserve"> </w:t>
      </w:r>
      <w:r w:rsidR="004D08D2" w:rsidRPr="00A66252">
        <w:rPr>
          <w:lang w:val="fr-FR" w:eastAsia="fr-FR"/>
        </w:rPr>
        <w:t>en vertu</w:t>
      </w:r>
      <w:r w:rsidR="00B87CF6" w:rsidRPr="00A66252">
        <w:rPr>
          <w:lang w:val="fr-FR" w:eastAsia="fr-FR"/>
        </w:rPr>
        <w:t xml:space="preserve"> de l</w:t>
      </w:r>
      <w:r w:rsidR="00A66252" w:rsidRPr="00A66252">
        <w:rPr>
          <w:lang w:val="fr-FR" w:eastAsia="fr-FR"/>
        </w:rPr>
        <w:t>’</w:t>
      </w:r>
      <w:r w:rsidR="00B87CF6" w:rsidRPr="00A66252">
        <w:rPr>
          <w:lang w:val="fr-FR" w:eastAsia="fr-FR"/>
        </w:rPr>
        <w:t>article 9</w:t>
      </w:r>
      <w:r w:rsidR="00B87CF6" w:rsidRPr="00A66252">
        <w:rPr>
          <w:i/>
          <w:lang w:val="fr-FR" w:eastAsia="fr-FR"/>
        </w:rPr>
        <w:t>ter</w:t>
      </w:r>
      <w:r w:rsidR="00B87CF6" w:rsidRPr="00A66252">
        <w:rPr>
          <w:lang w:val="fr-FR" w:eastAsia="fr-FR"/>
        </w:rPr>
        <w:t xml:space="preserve"> de la loi sur les étrangers</w:t>
      </w:r>
      <w:r w:rsidR="00E74F23" w:rsidRPr="00A66252">
        <w:rPr>
          <w:lang w:val="fr-FR" w:eastAsia="fr-FR"/>
        </w:rPr>
        <w:t xml:space="preserve"> (voir paragraphes </w:t>
      </w:r>
      <w:r w:rsidR="00E74F23" w:rsidRPr="00A66252">
        <w:rPr>
          <w:lang w:val="fr-FR" w:eastAsia="fr-FR"/>
        </w:rPr>
        <w:fldChar w:fldCharType="begin"/>
      </w:r>
      <w:r w:rsidR="00E74F23" w:rsidRPr="00A66252">
        <w:rPr>
          <w:lang w:val="fr-FR" w:eastAsia="fr-FR"/>
        </w:rPr>
        <w:instrText xml:space="preserve"> REF Dde9ter1 \h </w:instrText>
      </w:r>
      <w:r w:rsidR="00C93FE5" w:rsidRPr="00A66252">
        <w:rPr>
          <w:lang w:val="fr-FR" w:eastAsia="fr-FR"/>
        </w:rPr>
        <w:instrText xml:space="preserve"> \* MERGEFORMAT </w:instrText>
      </w:r>
      <w:r w:rsidR="00E74F23" w:rsidRPr="00A66252">
        <w:rPr>
          <w:lang w:val="fr-FR" w:eastAsia="fr-FR"/>
        </w:rPr>
      </w:r>
      <w:r w:rsidR="00E74F23" w:rsidRPr="00A66252">
        <w:rPr>
          <w:lang w:val="fr-FR" w:eastAsia="fr-FR"/>
        </w:rPr>
        <w:fldChar w:fldCharType="separate"/>
      </w:r>
      <w:r w:rsidR="00A66252" w:rsidRPr="00A66252">
        <w:rPr>
          <w:noProof/>
          <w:lang w:val="fr-FR"/>
        </w:rPr>
        <w:t>54</w:t>
      </w:r>
      <w:r w:rsidR="00E74F23" w:rsidRPr="00A66252">
        <w:rPr>
          <w:lang w:val="fr-FR" w:eastAsia="fr-FR"/>
        </w:rPr>
        <w:fldChar w:fldCharType="end"/>
      </w:r>
      <w:r w:rsidR="00E74F23" w:rsidRPr="00A66252">
        <w:rPr>
          <w:lang w:val="fr-FR" w:eastAsia="fr-FR"/>
        </w:rPr>
        <w:t xml:space="preserve"> et </w:t>
      </w:r>
      <w:r w:rsidR="00E74F23" w:rsidRPr="00A66252">
        <w:rPr>
          <w:lang w:val="fr-FR" w:eastAsia="fr-FR"/>
        </w:rPr>
        <w:fldChar w:fldCharType="begin"/>
      </w:r>
      <w:r w:rsidR="00E74F23" w:rsidRPr="00A66252">
        <w:rPr>
          <w:lang w:val="fr-FR" w:eastAsia="fr-FR"/>
        </w:rPr>
        <w:instrText xml:space="preserve"> REF Dde9ter2 \h </w:instrText>
      </w:r>
      <w:r w:rsidR="00C93FE5" w:rsidRPr="00A66252">
        <w:rPr>
          <w:lang w:val="fr-FR" w:eastAsia="fr-FR"/>
        </w:rPr>
        <w:instrText xml:space="preserve"> \* MERGEFORMAT </w:instrText>
      </w:r>
      <w:r w:rsidR="00E74F23" w:rsidRPr="00A66252">
        <w:rPr>
          <w:lang w:val="fr-FR" w:eastAsia="fr-FR"/>
        </w:rPr>
      </w:r>
      <w:r w:rsidR="00E74F23" w:rsidRPr="00A66252">
        <w:rPr>
          <w:lang w:val="fr-FR" w:eastAsia="fr-FR"/>
        </w:rPr>
        <w:fldChar w:fldCharType="separate"/>
      </w:r>
      <w:r w:rsidR="00A66252" w:rsidRPr="00A66252">
        <w:rPr>
          <w:noProof/>
          <w:lang w:val="fr-FR"/>
        </w:rPr>
        <w:t>59</w:t>
      </w:r>
      <w:r w:rsidR="00E74F23" w:rsidRPr="00A66252">
        <w:rPr>
          <w:lang w:val="fr-FR" w:eastAsia="fr-FR"/>
        </w:rPr>
        <w:fldChar w:fldCharType="end"/>
      </w:r>
      <w:r w:rsidR="00E74F23" w:rsidRPr="00A66252">
        <w:rPr>
          <w:lang w:val="fr-FR" w:eastAsia="fr-FR"/>
        </w:rPr>
        <w:t>, ci-dessus)</w:t>
      </w:r>
      <w:r w:rsidR="00277A64" w:rsidRPr="00A66252">
        <w:rPr>
          <w:lang w:val="fr-FR" w:eastAsia="fr-FR"/>
        </w:rPr>
        <w:t>. Les demandes étaient fondées principalement sur la nécessité d</w:t>
      </w:r>
      <w:r w:rsidR="00A66252" w:rsidRPr="00A66252">
        <w:rPr>
          <w:lang w:val="fr-FR" w:eastAsia="fr-FR"/>
        </w:rPr>
        <w:t>’</w:t>
      </w:r>
      <w:r w:rsidR="00277A64" w:rsidRPr="00A66252">
        <w:rPr>
          <w:lang w:val="fr-FR" w:eastAsia="fr-FR"/>
        </w:rPr>
        <w:t>un traitement adéquat de sa leucémie et sur le postulat qu</w:t>
      </w:r>
      <w:r w:rsidR="00A66252" w:rsidRPr="00A66252">
        <w:rPr>
          <w:lang w:val="fr-FR" w:eastAsia="fr-FR"/>
        </w:rPr>
        <w:t>’</w:t>
      </w:r>
      <w:r w:rsidR="00B87CF6" w:rsidRPr="00A66252">
        <w:rPr>
          <w:lang w:val="fr-FR" w:eastAsia="fr-FR"/>
        </w:rPr>
        <w:t xml:space="preserve">il </w:t>
      </w:r>
      <w:r w:rsidR="00B03373" w:rsidRPr="00A66252">
        <w:rPr>
          <w:lang w:val="fr-FR" w:eastAsia="fr-FR"/>
        </w:rPr>
        <w:t>n</w:t>
      </w:r>
      <w:r w:rsidR="00A66252" w:rsidRPr="00A66252">
        <w:rPr>
          <w:lang w:val="fr-FR" w:eastAsia="fr-FR"/>
        </w:rPr>
        <w:t>’</w:t>
      </w:r>
      <w:r w:rsidR="00B03373" w:rsidRPr="00A66252">
        <w:rPr>
          <w:lang w:val="fr-FR" w:eastAsia="fr-FR"/>
        </w:rPr>
        <w:t>aurait pu</w:t>
      </w:r>
      <w:r w:rsidR="00B87CF6" w:rsidRPr="00A66252">
        <w:rPr>
          <w:lang w:val="fr-FR" w:eastAsia="fr-FR"/>
        </w:rPr>
        <w:t xml:space="preserve"> bénéficier de soins appropriés </w:t>
      </w:r>
      <w:r w:rsidR="00B75EC1" w:rsidRPr="00A66252">
        <w:rPr>
          <w:lang w:val="fr-FR" w:eastAsia="fr-FR"/>
        </w:rPr>
        <w:t xml:space="preserve">à son état de santé </w:t>
      </w:r>
      <w:r w:rsidR="00277A64" w:rsidRPr="00A66252">
        <w:rPr>
          <w:lang w:val="fr-FR" w:eastAsia="fr-FR"/>
        </w:rPr>
        <w:t>en Géorgie.</w:t>
      </w:r>
    </w:p>
    <w:bookmarkStart w:id="44" w:name="RAPPELPROCINT"/>
    <w:p w:rsidR="00B75EC1" w:rsidRPr="00A66252" w:rsidRDefault="00C50F49"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199</w:t>
      </w:r>
      <w:r w:rsidRPr="00A66252">
        <w:rPr>
          <w:lang w:val="fr-FR" w:eastAsia="fr-FR"/>
        </w:rPr>
        <w:fldChar w:fldCharType="end"/>
      </w:r>
      <w:bookmarkEnd w:id="44"/>
      <w:r w:rsidRPr="00A66252">
        <w:rPr>
          <w:lang w:val="fr-FR" w:eastAsia="fr-FR"/>
        </w:rPr>
        <w:t>.  </w:t>
      </w:r>
      <w:r w:rsidR="00B87CF6" w:rsidRPr="00A66252">
        <w:rPr>
          <w:lang w:val="fr-FR" w:eastAsia="fr-FR"/>
        </w:rPr>
        <w:t xml:space="preserve">Les </w:t>
      </w:r>
      <w:r w:rsidR="0075093A" w:rsidRPr="00A66252">
        <w:rPr>
          <w:lang w:val="fr-FR" w:eastAsia="fr-FR"/>
        </w:rPr>
        <w:t xml:space="preserve">26 septembre 2007 et 4 juin 2008 respectivement, ces </w:t>
      </w:r>
      <w:r w:rsidR="00B87CF6" w:rsidRPr="00A66252">
        <w:rPr>
          <w:lang w:val="fr-FR" w:eastAsia="fr-FR"/>
        </w:rPr>
        <w:t>demandes</w:t>
      </w:r>
      <w:r w:rsidRPr="00A66252">
        <w:rPr>
          <w:lang w:val="fr-FR" w:eastAsia="fr-FR"/>
        </w:rPr>
        <w:t xml:space="preserve"> de régularisation</w:t>
      </w:r>
      <w:r w:rsidR="00B87CF6" w:rsidRPr="00A66252">
        <w:rPr>
          <w:lang w:val="fr-FR" w:eastAsia="fr-FR"/>
        </w:rPr>
        <w:t xml:space="preserve"> ont été rejetées par </w:t>
      </w:r>
      <w:r w:rsidR="00AF1C24" w:rsidRPr="00A66252">
        <w:rPr>
          <w:lang w:val="fr-FR" w:eastAsia="fr-FR"/>
        </w:rPr>
        <w:t>l</w:t>
      </w:r>
      <w:r w:rsidR="00A66252" w:rsidRPr="00A66252">
        <w:rPr>
          <w:lang w:val="fr-FR" w:eastAsia="fr-FR"/>
        </w:rPr>
        <w:t>’</w:t>
      </w:r>
      <w:r w:rsidR="00AF1C24" w:rsidRPr="00A66252">
        <w:rPr>
          <w:lang w:val="fr-FR" w:eastAsia="fr-FR"/>
        </w:rPr>
        <w:t>OE</w:t>
      </w:r>
      <w:r w:rsidR="00B87CF6" w:rsidRPr="00A66252">
        <w:rPr>
          <w:lang w:val="fr-FR" w:eastAsia="fr-FR"/>
        </w:rPr>
        <w:t xml:space="preserve"> </w:t>
      </w:r>
      <w:r w:rsidR="00AF1C24" w:rsidRPr="00A66252">
        <w:rPr>
          <w:lang w:val="fr-FR" w:eastAsia="fr-FR"/>
        </w:rPr>
        <w:t>qui considéra que</w:t>
      </w:r>
      <w:r w:rsidR="00B87CF6" w:rsidRPr="00A66252">
        <w:rPr>
          <w:lang w:val="fr-FR" w:eastAsia="fr-FR"/>
        </w:rPr>
        <w:t xml:space="preserve"> le requérant était exclu du bénéfice de l</w:t>
      </w:r>
      <w:r w:rsidR="00A66252" w:rsidRPr="00A66252">
        <w:rPr>
          <w:lang w:val="fr-FR" w:eastAsia="fr-FR"/>
        </w:rPr>
        <w:t>’</w:t>
      </w:r>
      <w:r w:rsidR="00B87CF6" w:rsidRPr="00A66252">
        <w:rPr>
          <w:lang w:val="fr-FR" w:eastAsia="fr-FR"/>
        </w:rPr>
        <w:t>article 9</w:t>
      </w:r>
      <w:r w:rsidR="00B87CF6" w:rsidRPr="00A66252">
        <w:rPr>
          <w:i/>
          <w:lang w:val="fr-FR" w:eastAsia="fr-FR"/>
        </w:rPr>
        <w:t>ter</w:t>
      </w:r>
      <w:r w:rsidR="00B87CF6" w:rsidRPr="00A66252">
        <w:rPr>
          <w:lang w:val="fr-FR" w:eastAsia="fr-FR"/>
        </w:rPr>
        <w:t xml:space="preserve"> de la loi en raison des crimes graves</w:t>
      </w:r>
      <w:r w:rsidR="00B75EC1" w:rsidRPr="00A66252">
        <w:rPr>
          <w:lang w:val="fr-FR" w:eastAsia="fr-FR"/>
        </w:rPr>
        <w:t xml:space="preserve"> </w:t>
      </w:r>
      <w:r w:rsidR="00B87CF6" w:rsidRPr="00A66252">
        <w:rPr>
          <w:lang w:val="fr-FR" w:eastAsia="fr-FR"/>
        </w:rPr>
        <w:t>qu</w:t>
      </w:r>
      <w:r w:rsidR="00A66252" w:rsidRPr="00A66252">
        <w:rPr>
          <w:lang w:val="fr-FR" w:eastAsia="fr-FR"/>
        </w:rPr>
        <w:t>’</w:t>
      </w:r>
      <w:r w:rsidR="00B87CF6" w:rsidRPr="00A66252">
        <w:rPr>
          <w:lang w:val="fr-FR" w:eastAsia="fr-FR"/>
        </w:rPr>
        <w:t>il a</w:t>
      </w:r>
      <w:r w:rsidR="00433276" w:rsidRPr="00A66252">
        <w:rPr>
          <w:lang w:val="fr-FR" w:eastAsia="fr-FR"/>
        </w:rPr>
        <w:t>vait</w:t>
      </w:r>
      <w:r w:rsidR="00B87CF6" w:rsidRPr="00A66252">
        <w:rPr>
          <w:lang w:val="fr-FR" w:eastAsia="fr-FR"/>
        </w:rPr>
        <w:t xml:space="preserve"> commis</w:t>
      </w:r>
      <w:r w:rsidR="00F13136" w:rsidRPr="00A66252">
        <w:rPr>
          <w:lang w:val="fr-FR" w:eastAsia="fr-FR"/>
        </w:rPr>
        <w:t xml:space="preserve"> (voir paragraphes </w:t>
      </w:r>
      <w:r w:rsidR="00FA4E0D" w:rsidRPr="00A66252">
        <w:rPr>
          <w:lang w:val="fr-FR" w:eastAsia="fr-FR"/>
        </w:rPr>
        <w:fldChar w:fldCharType="begin"/>
      </w:r>
      <w:r w:rsidR="00FA4E0D" w:rsidRPr="00A66252">
        <w:rPr>
          <w:lang w:val="fr-FR" w:eastAsia="fr-FR"/>
        </w:rPr>
        <w:instrText xml:space="preserve"> REF OE9TER1 \h </w:instrText>
      </w:r>
      <w:r w:rsidR="00C93FE5" w:rsidRPr="00A66252">
        <w:rPr>
          <w:lang w:val="fr-FR" w:eastAsia="fr-FR"/>
        </w:rPr>
        <w:instrText xml:space="preserve"> \* MERGEFORMAT </w:instrText>
      </w:r>
      <w:r w:rsidR="00FA4E0D" w:rsidRPr="00A66252">
        <w:rPr>
          <w:lang w:val="fr-FR" w:eastAsia="fr-FR"/>
        </w:rPr>
      </w:r>
      <w:r w:rsidR="00FA4E0D" w:rsidRPr="00A66252">
        <w:rPr>
          <w:lang w:val="fr-FR" w:eastAsia="fr-FR"/>
        </w:rPr>
        <w:fldChar w:fldCharType="separate"/>
      </w:r>
      <w:r w:rsidR="00A66252" w:rsidRPr="00A66252">
        <w:rPr>
          <w:noProof/>
          <w:lang w:val="fr-FR"/>
        </w:rPr>
        <w:t>55</w:t>
      </w:r>
      <w:r w:rsidR="00FA4E0D" w:rsidRPr="00A66252">
        <w:rPr>
          <w:lang w:val="fr-FR" w:eastAsia="fr-FR"/>
        </w:rPr>
        <w:fldChar w:fldCharType="end"/>
      </w:r>
      <w:r w:rsidR="00FA4E0D" w:rsidRPr="00A66252">
        <w:rPr>
          <w:lang w:val="fr-FR" w:eastAsia="fr-FR"/>
        </w:rPr>
        <w:t xml:space="preserve"> et </w:t>
      </w:r>
      <w:r w:rsidR="0075093A" w:rsidRPr="00A66252">
        <w:rPr>
          <w:lang w:val="fr-FR" w:eastAsia="fr-FR"/>
        </w:rPr>
        <w:fldChar w:fldCharType="begin"/>
      </w:r>
      <w:r w:rsidR="0075093A" w:rsidRPr="00A66252">
        <w:rPr>
          <w:lang w:val="fr-FR" w:eastAsia="fr-FR"/>
        </w:rPr>
        <w:instrText xml:space="preserve"> REF OE9TER2 \h </w:instrText>
      </w:r>
      <w:r w:rsidR="00C93FE5" w:rsidRPr="00A66252">
        <w:rPr>
          <w:lang w:val="fr-FR" w:eastAsia="fr-FR"/>
        </w:rPr>
        <w:instrText xml:space="preserve"> \* MERGEFORMAT </w:instrText>
      </w:r>
      <w:r w:rsidR="0075093A" w:rsidRPr="00A66252">
        <w:rPr>
          <w:lang w:val="fr-FR" w:eastAsia="fr-FR"/>
        </w:rPr>
      </w:r>
      <w:r w:rsidR="0075093A" w:rsidRPr="00A66252">
        <w:rPr>
          <w:lang w:val="fr-FR" w:eastAsia="fr-FR"/>
        </w:rPr>
        <w:fldChar w:fldCharType="separate"/>
      </w:r>
      <w:r w:rsidR="00A66252" w:rsidRPr="00A66252">
        <w:rPr>
          <w:noProof/>
          <w:lang w:val="fr-FR"/>
        </w:rPr>
        <w:t>60</w:t>
      </w:r>
      <w:r w:rsidR="0075093A" w:rsidRPr="00A66252">
        <w:rPr>
          <w:lang w:val="fr-FR" w:eastAsia="fr-FR"/>
        </w:rPr>
        <w:fldChar w:fldCharType="end"/>
      </w:r>
      <w:r w:rsidR="0075093A" w:rsidRPr="00A66252">
        <w:rPr>
          <w:lang w:val="fr-FR" w:eastAsia="fr-FR"/>
        </w:rPr>
        <w:t xml:space="preserve"> </w:t>
      </w:r>
      <w:r w:rsidR="00F13136" w:rsidRPr="00A66252">
        <w:rPr>
          <w:lang w:val="fr-FR" w:eastAsia="fr-FR"/>
        </w:rPr>
        <w:t>ci-dessus)</w:t>
      </w:r>
      <w:r w:rsidR="00B87CF6" w:rsidRPr="00A66252">
        <w:rPr>
          <w:lang w:val="fr-FR" w:eastAsia="fr-FR"/>
        </w:rPr>
        <w:t xml:space="preserve">. </w:t>
      </w:r>
      <w:r w:rsidR="00AF1C24" w:rsidRPr="00A66252">
        <w:rPr>
          <w:lang w:val="fr-FR" w:eastAsia="fr-FR"/>
        </w:rPr>
        <w:t xml:space="preserve">Saisi </w:t>
      </w:r>
      <w:r w:rsidR="004F7CD2" w:rsidRPr="00A66252">
        <w:rPr>
          <w:lang w:val="fr-FR" w:eastAsia="fr-FR"/>
        </w:rPr>
        <w:t>de</w:t>
      </w:r>
      <w:r w:rsidR="00AF1C24" w:rsidRPr="00A66252">
        <w:rPr>
          <w:lang w:val="fr-FR" w:eastAsia="fr-FR"/>
        </w:rPr>
        <w:t xml:space="preserve"> recours </w:t>
      </w:r>
      <w:r w:rsidR="004F7CD2" w:rsidRPr="00A66252">
        <w:rPr>
          <w:lang w:val="fr-FR" w:eastAsia="fr-FR"/>
        </w:rPr>
        <w:t xml:space="preserve">en suspension et en annulation </w:t>
      </w:r>
      <w:r w:rsidR="00AF1C24" w:rsidRPr="00A66252">
        <w:rPr>
          <w:lang w:val="fr-FR" w:eastAsia="fr-FR"/>
        </w:rPr>
        <w:t>contre ces décisions, l</w:t>
      </w:r>
      <w:r w:rsidR="00B87CF6" w:rsidRPr="00A66252">
        <w:rPr>
          <w:lang w:val="fr-FR" w:eastAsia="fr-FR"/>
        </w:rPr>
        <w:t xml:space="preserve">e CCE </w:t>
      </w:r>
      <w:r w:rsidR="00154A7B" w:rsidRPr="00A66252">
        <w:rPr>
          <w:lang w:val="fr-FR" w:eastAsia="fr-FR"/>
        </w:rPr>
        <w:t>jugea</w:t>
      </w:r>
      <w:r w:rsidR="00F830E6" w:rsidRPr="00A66252">
        <w:rPr>
          <w:lang w:val="fr-FR" w:eastAsia="fr-FR"/>
        </w:rPr>
        <w:t>,</w:t>
      </w:r>
      <w:r w:rsidR="00E74F23" w:rsidRPr="00A66252">
        <w:rPr>
          <w:lang w:val="fr-FR" w:eastAsia="fr-FR"/>
        </w:rPr>
        <w:t xml:space="preserve"> par de</w:t>
      </w:r>
      <w:r w:rsidR="00354CB5" w:rsidRPr="00A66252">
        <w:rPr>
          <w:lang w:val="fr-FR" w:eastAsia="fr-FR"/>
        </w:rPr>
        <w:t>s</w:t>
      </w:r>
      <w:r w:rsidR="00E74F23" w:rsidRPr="00A66252">
        <w:rPr>
          <w:lang w:val="fr-FR" w:eastAsia="fr-FR"/>
        </w:rPr>
        <w:t xml:space="preserve"> arrêts du 28 août 2008 et </w:t>
      </w:r>
      <w:r w:rsidR="00354CB5" w:rsidRPr="00A66252">
        <w:rPr>
          <w:lang w:val="fr-FR" w:eastAsia="fr-FR"/>
        </w:rPr>
        <w:t xml:space="preserve">du </w:t>
      </w:r>
      <w:r w:rsidR="00E74F23" w:rsidRPr="00A66252">
        <w:rPr>
          <w:lang w:val="fr-FR" w:eastAsia="fr-FR"/>
        </w:rPr>
        <w:t>21 mai 2015,</w:t>
      </w:r>
      <w:r w:rsidR="00B87CF6" w:rsidRPr="00A66252">
        <w:rPr>
          <w:lang w:val="fr-FR" w:eastAsia="fr-FR"/>
        </w:rPr>
        <w:t xml:space="preserve"> que, lorsque </w:t>
      </w:r>
      <w:r w:rsidR="00AF1C24" w:rsidRPr="00A66252">
        <w:rPr>
          <w:lang w:val="fr-FR" w:eastAsia="fr-FR"/>
        </w:rPr>
        <w:t>l</w:t>
      </w:r>
      <w:r w:rsidR="00A66252" w:rsidRPr="00A66252">
        <w:rPr>
          <w:lang w:val="fr-FR" w:eastAsia="fr-FR"/>
        </w:rPr>
        <w:t>’</w:t>
      </w:r>
      <w:r w:rsidR="00AF1C24" w:rsidRPr="00A66252">
        <w:rPr>
          <w:lang w:val="fr-FR" w:eastAsia="fr-FR"/>
        </w:rPr>
        <w:t>autorité administrative</w:t>
      </w:r>
      <w:r w:rsidR="00B87CF6" w:rsidRPr="00A66252">
        <w:rPr>
          <w:lang w:val="fr-FR" w:eastAsia="fr-FR"/>
        </w:rPr>
        <w:t xml:space="preserve"> invoquait</w:t>
      </w:r>
      <w:r w:rsidR="00154A7B" w:rsidRPr="00A66252">
        <w:rPr>
          <w:lang w:val="fr-FR" w:eastAsia="fr-FR"/>
        </w:rPr>
        <w:t xml:space="preserve"> un motif d</w:t>
      </w:r>
      <w:r w:rsidR="00A66252" w:rsidRPr="00A66252">
        <w:rPr>
          <w:lang w:val="fr-FR" w:eastAsia="fr-FR"/>
        </w:rPr>
        <w:t>’</w:t>
      </w:r>
      <w:r w:rsidR="00B87CF6" w:rsidRPr="00A66252">
        <w:rPr>
          <w:lang w:val="fr-FR" w:eastAsia="fr-FR"/>
        </w:rPr>
        <w:t>exclusion, il n</w:t>
      </w:r>
      <w:r w:rsidR="00A66252" w:rsidRPr="00A66252">
        <w:rPr>
          <w:lang w:val="fr-FR" w:eastAsia="fr-FR"/>
        </w:rPr>
        <w:t>’</w:t>
      </w:r>
      <w:r w:rsidR="00B87CF6" w:rsidRPr="00A66252">
        <w:rPr>
          <w:lang w:val="fr-FR" w:eastAsia="fr-FR"/>
        </w:rPr>
        <w:t>y avait pas lieu d</w:t>
      </w:r>
      <w:r w:rsidR="00A66252" w:rsidRPr="00A66252">
        <w:rPr>
          <w:lang w:val="fr-FR" w:eastAsia="fr-FR"/>
        </w:rPr>
        <w:t>’</w:t>
      </w:r>
      <w:r w:rsidR="00B87CF6" w:rsidRPr="00A66252">
        <w:rPr>
          <w:lang w:val="fr-FR" w:eastAsia="fr-FR"/>
        </w:rPr>
        <w:t xml:space="preserve">examiner les </w:t>
      </w:r>
      <w:r w:rsidR="00154A7B" w:rsidRPr="00A66252">
        <w:rPr>
          <w:lang w:val="fr-FR" w:eastAsia="fr-FR"/>
        </w:rPr>
        <w:t>éléments médicaux soumis à son appréciation</w:t>
      </w:r>
      <w:r w:rsidR="00B87CF6" w:rsidRPr="00A66252">
        <w:rPr>
          <w:lang w:val="fr-FR" w:eastAsia="fr-FR"/>
        </w:rPr>
        <w:t xml:space="preserve">. En outre, </w:t>
      </w:r>
      <w:r w:rsidR="00154A7B" w:rsidRPr="00A66252">
        <w:rPr>
          <w:lang w:val="fr-FR" w:eastAsia="fr-FR"/>
        </w:rPr>
        <w:t>s</w:t>
      </w:r>
      <w:r w:rsidR="00A66252" w:rsidRPr="00A66252">
        <w:rPr>
          <w:lang w:val="fr-FR" w:eastAsia="fr-FR"/>
        </w:rPr>
        <w:t>’</w:t>
      </w:r>
      <w:r w:rsidR="00154A7B" w:rsidRPr="00A66252">
        <w:rPr>
          <w:lang w:val="fr-FR" w:eastAsia="fr-FR"/>
        </w:rPr>
        <w:t>agissant des griefs tirés de l</w:t>
      </w:r>
      <w:r w:rsidR="00A66252" w:rsidRPr="00A66252">
        <w:rPr>
          <w:lang w:val="fr-FR" w:eastAsia="fr-FR"/>
        </w:rPr>
        <w:t>’</w:t>
      </w:r>
      <w:r w:rsidR="00154A7B" w:rsidRPr="00A66252">
        <w:rPr>
          <w:lang w:val="fr-FR" w:eastAsia="fr-FR"/>
        </w:rPr>
        <w:t xml:space="preserve">article </w:t>
      </w:r>
      <w:r w:rsidR="00B87CF6" w:rsidRPr="00A66252">
        <w:rPr>
          <w:lang w:val="fr-FR" w:eastAsia="fr-FR"/>
        </w:rPr>
        <w:t xml:space="preserve">3 de la Convention, </w:t>
      </w:r>
      <w:r w:rsidR="00154A7B" w:rsidRPr="00A66252">
        <w:rPr>
          <w:lang w:val="fr-FR" w:eastAsia="fr-FR"/>
        </w:rPr>
        <w:t>le CCE</w:t>
      </w:r>
      <w:r w:rsidR="00B87CF6" w:rsidRPr="00A66252">
        <w:rPr>
          <w:lang w:val="fr-FR" w:eastAsia="fr-FR"/>
        </w:rPr>
        <w:t xml:space="preserve"> </w:t>
      </w:r>
      <w:r w:rsidR="00154A7B" w:rsidRPr="00A66252">
        <w:rPr>
          <w:lang w:val="fr-FR" w:eastAsia="fr-FR"/>
        </w:rPr>
        <w:t>nota</w:t>
      </w:r>
      <w:r w:rsidR="00B87CF6" w:rsidRPr="00A66252">
        <w:rPr>
          <w:lang w:val="fr-FR" w:eastAsia="fr-FR"/>
        </w:rPr>
        <w:t xml:space="preserve"> que la décision de refus de séjour n</w:t>
      </w:r>
      <w:r w:rsidR="00A66252" w:rsidRPr="00A66252">
        <w:rPr>
          <w:lang w:val="fr-FR" w:eastAsia="fr-FR"/>
        </w:rPr>
        <w:t>’</w:t>
      </w:r>
      <w:r w:rsidR="00154A7B" w:rsidRPr="00A66252">
        <w:rPr>
          <w:lang w:val="fr-FR" w:eastAsia="fr-FR"/>
        </w:rPr>
        <w:t>était pas assortie d</w:t>
      </w:r>
      <w:r w:rsidR="00A66252" w:rsidRPr="00A66252">
        <w:rPr>
          <w:lang w:val="fr-FR" w:eastAsia="fr-FR"/>
        </w:rPr>
        <w:t>’</w:t>
      </w:r>
      <w:r w:rsidR="00154A7B" w:rsidRPr="00A66252">
        <w:rPr>
          <w:lang w:val="fr-FR" w:eastAsia="fr-FR"/>
        </w:rPr>
        <w:t>une mesure d</w:t>
      </w:r>
      <w:r w:rsidR="00A66252" w:rsidRPr="00A66252">
        <w:rPr>
          <w:lang w:val="fr-FR" w:eastAsia="fr-FR"/>
        </w:rPr>
        <w:t>’</w:t>
      </w:r>
      <w:r w:rsidR="00154A7B" w:rsidRPr="00A66252">
        <w:rPr>
          <w:lang w:val="fr-FR" w:eastAsia="fr-FR"/>
        </w:rPr>
        <w:t xml:space="preserve">éloignement du territoire, </w:t>
      </w:r>
      <w:r w:rsidR="00433276" w:rsidRPr="00A66252">
        <w:rPr>
          <w:lang w:val="fr-FR" w:eastAsia="fr-FR"/>
        </w:rPr>
        <w:t>de sorte que le risque d</w:t>
      </w:r>
      <w:r w:rsidR="00A66252" w:rsidRPr="00A66252">
        <w:rPr>
          <w:lang w:val="fr-FR" w:eastAsia="fr-FR"/>
        </w:rPr>
        <w:t>’</w:t>
      </w:r>
      <w:r w:rsidR="00B87CF6" w:rsidRPr="00A66252">
        <w:rPr>
          <w:lang w:val="fr-FR" w:eastAsia="fr-FR"/>
        </w:rPr>
        <w:t xml:space="preserve">interruption du traitement médical </w:t>
      </w:r>
      <w:r w:rsidR="00154A7B" w:rsidRPr="00A66252">
        <w:rPr>
          <w:lang w:val="fr-FR" w:eastAsia="fr-FR"/>
        </w:rPr>
        <w:t xml:space="preserve">en cas de retour en Géorgie </w:t>
      </w:r>
      <w:r w:rsidR="00B87CF6" w:rsidRPr="00A66252">
        <w:rPr>
          <w:lang w:val="fr-FR" w:eastAsia="fr-FR"/>
        </w:rPr>
        <w:t xml:space="preserve">était de </w:t>
      </w:r>
      <w:r w:rsidR="00154A7B" w:rsidRPr="00A66252">
        <w:rPr>
          <w:lang w:val="fr-FR" w:eastAsia="fr-FR"/>
        </w:rPr>
        <w:t>nature purement hypothétique</w:t>
      </w:r>
      <w:r w:rsidR="00F13136" w:rsidRPr="00A66252">
        <w:rPr>
          <w:lang w:val="fr-FR" w:eastAsia="fr-FR"/>
        </w:rPr>
        <w:t xml:space="preserve"> (voir paragraphes </w:t>
      </w:r>
      <w:r w:rsidR="008B2666" w:rsidRPr="00A66252">
        <w:rPr>
          <w:lang w:val="fr-FR" w:eastAsia="fr-FR"/>
        </w:rPr>
        <w:fldChar w:fldCharType="begin"/>
      </w:r>
      <w:r w:rsidR="008B2666" w:rsidRPr="00A66252">
        <w:rPr>
          <w:lang w:val="fr-FR" w:eastAsia="fr-FR"/>
        </w:rPr>
        <w:instrText xml:space="preserve"> REF CCE9TER1 \h </w:instrText>
      </w:r>
      <w:r w:rsidR="00C93FE5" w:rsidRPr="00A66252">
        <w:rPr>
          <w:lang w:val="fr-FR" w:eastAsia="fr-FR"/>
        </w:rPr>
        <w:instrText xml:space="preserve"> \* MERGEFORMAT </w:instrText>
      </w:r>
      <w:r w:rsidR="008B2666" w:rsidRPr="00A66252">
        <w:rPr>
          <w:lang w:val="fr-FR" w:eastAsia="fr-FR"/>
        </w:rPr>
      </w:r>
      <w:r w:rsidR="008B2666" w:rsidRPr="00A66252">
        <w:rPr>
          <w:lang w:val="fr-FR" w:eastAsia="fr-FR"/>
        </w:rPr>
        <w:fldChar w:fldCharType="separate"/>
      </w:r>
      <w:r w:rsidR="00A66252" w:rsidRPr="00A66252">
        <w:rPr>
          <w:noProof/>
          <w:lang w:val="fr-FR"/>
        </w:rPr>
        <w:t>57</w:t>
      </w:r>
      <w:r w:rsidR="008B2666" w:rsidRPr="00A66252">
        <w:rPr>
          <w:lang w:val="fr-FR" w:eastAsia="fr-FR"/>
        </w:rPr>
        <w:fldChar w:fldCharType="end"/>
      </w:r>
      <w:r w:rsidR="008B2666" w:rsidRPr="00A66252">
        <w:rPr>
          <w:lang w:val="fr-FR" w:eastAsia="fr-FR"/>
        </w:rPr>
        <w:t xml:space="preserve"> et </w:t>
      </w:r>
      <w:r w:rsidR="008B2666" w:rsidRPr="00A66252">
        <w:rPr>
          <w:lang w:val="fr-FR" w:eastAsia="fr-FR"/>
        </w:rPr>
        <w:fldChar w:fldCharType="begin"/>
      </w:r>
      <w:r w:rsidR="008B2666" w:rsidRPr="00A66252">
        <w:rPr>
          <w:lang w:val="fr-FR" w:eastAsia="fr-FR"/>
        </w:rPr>
        <w:instrText xml:space="preserve"> REF CCE9TER2 \h </w:instrText>
      </w:r>
      <w:r w:rsidR="00C93FE5" w:rsidRPr="00A66252">
        <w:rPr>
          <w:lang w:val="fr-FR" w:eastAsia="fr-FR"/>
        </w:rPr>
        <w:instrText xml:space="preserve"> \* MERGEFORMAT </w:instrText>
      </w:r>
      <w:r w:rsidR="008B2666" w:rsidRPr="00A66252">
        <w:rPr>
          <w:lang w:val="fr-FR" w:eastAsia="fr-FR"/>
        </w:rPr>
      </w:r>
      <w:r w:rsidR="008B2666" w:rsidRPr="00A66252">
        <w:rPr>
          <w:lang w:val="fr-FR" w:eastAsia="fr-FR"/>
        </w:rPr>
        <w:fldChar w:fldCharType="separate"/>
      </w:r>
      <w:r w:rsidR="00A66252" w:rsidRPr="00A66252">
        <w:rPr>
          <w:noProof/>
          <w:lang w:val="fr-FR"/>
        </w:rPr>
        <w:t>62</w:t>
      </w:r>
      <w:r w:rsidR="008B2666" w:rsidRPr="00A66252">
        <w:rPr>
          <w:lang w:val="fr-FR" w:eastAsia="fr-FR"/>
        </w:rPr>
        <w:fldChar w:fldCharType="end"/>
      </w:r>
      <w:r w:rsidR="008B2666" w:rsidRPr="00A66252">
        <w:rPr>
          <w:lang w:val="fr-FR" w:eastAsia="fr-FR"/>
        </w:rPr>
        <w:t>,</w:t>
      </w:r>
      <w:r w:rsidR="00F13136" w:rsidRPr="00A66252">
        <w:rPr>
          <w:lang w:val="fr-FR" w:eastAsia="fr-FR"/>
        </w:rPr>
        <w:t xml:space="preserve"> ci-dessus)</w:t>
      </w:r>
      <w:r w:rsidR="00154A7B" w:rsidRPr="00A66252">
        <w:rPr>
          <w:lang w:val="fr-FR" w:eastAsia="fr-FR"/>
        </w:rPr>
        <w:t>.</w:t>
      </w:r>
      <w:r w:rsidR="00800622" w:rsidRPr="00A66252">
        <w:rPr>
          <w:lang w:val="fr-FR" w:eastAsia="fr-FR"/>
        </w:rPr>
        <w:t xml:space="preserve"> Le Conseil d</w:t>
      </w:r>
      <w:r w:rsidR="00A66252" w:rsidRPr="00A66252">
        <w:rPr>
          <w:lang w:val="fr-FR" w:eastAsia="fr-FR"/>
        </w:rPr>
        <w:t>’</w:t>
      </w:r>
      <w:r w:rsidR="00800622" w:rsidRPr="00A66252">
        <w:rPr>
          <w:lang w:val="fr-FR" w:eastAsia="fr-FR"/>
        </w:rPr>
        <w:t>É</w:t>
      </w:r>
      <w:r w:rsidR="004F7CD2" w:rsidRPr="00A66252">
        <w:rPr>
          <w:lang w:val="fr-FR" w:eastAsia="fr-FR"/>
        </w:rPr>
        <w:t>tat, saisi d</w:t>
      </w:r>
      <w:r w:rsidR="00A66252" w:rsidRPr="00A66252">
        <w:rPr>
          <w:lang w:val="fr-FR" w:eastAsia="fr-FR"/>
        </w:rPr>
        <w:t>’</w:t>
      </w:r>
      <w:r w:rsidR="004F7CD2" w:rsidRPr="00A66252">
        <w:rPr>
          <w:lang w:val="fr-FR" w:eastAsia="fr-FR"/>
        </w:rPr>
        <w:t xml:space="preserve">un recours en cassation, confirma </w:t>
      </w:r>
      <w:r w:rsidR="00D756A9" w:rsidRPr="00A66252">
        <w:rPr>
          <w:lang w:val="fr-FR" w:eastAsia="fr-FR"/>
        </w:rPr>
        <w:t>le raisonnement du CCE</w:t>
      </w:r>
      <w:r w:rsidR="00B75EC1" w:rsidRPr="00A66252">
        <w:rPr>
          <w:lang w:val="fr-FR" w:eastAsia="fr-FR"/>
        </w:rPr>
        <w:t xml:space="preserve"> et précisa que </w:t>
      </w:r>
      <w:r w:rsidR="0043081D" w:rsidRPr="00A66252">
        <w:rPr>
          <w:lang w:val="fr-FR" w:eastAsia="fr-FR"/>
        </w:rPr>
        <w:t>l</w:t>
      </w:r>
      <w:r w:rsidR="00A66252" w:rsidRPr="00A66252">
        <w:rPr>
          <w:lang w:val="fr-FR" w:eastAsia="fr-FR"/>
        </w:rPr>
        <w:t>’</w:t>
      </w:r>
      <w:r w:rsidR="0043081D" w:rsidRPr="00A66252">
        <w:rPr>
          <w:lang w:val="fr-FR" w:eastAsia="fr-FR"/>
        </w:rPr>
        <w:t xml:space="preserve">évaluation de </w:t>
      </w:r>
      <w:r w:rsidR="00B75EC1" w:rsidRPr="00A66252">
        <w:rPr>
          <w:lang w:val="fr-FR" w:eastAsia="fr-FR"/>
        </w:rPr>
        <w:t>la situation médicale d</w:t>
      </w:r>
      <w:r w:rsidR="00A66252" w:rsidRPr="00A66252">
        <w:rPr>
          <w:lang w:val="fr-FR" w:eastAsia="fr-FR"/>
        </w:rPr>
        <w:t>’</w:t>
      </w:r>
      <w:r w:rsidR="00B75EC1" w:rsidRPr="00A66252">
        <w:rPr>
          <w:lang w:val="fr-FR" w:eastAsia="fr-FR"/>
        </w:rPr>
        <w:t>un étranger faisant l</w:t>
      </w:r>
      <w:r w:rsidR="00A66252" w:rsidRPr="00A66252">
        <w:rPr>
          <w:lang w:val="fr-FR" w:eastAsia="fr-FR"/>
        </w:rPr>
        <w:t>’</w:t>
      </w:r>
      <w:r w:rsidR="00B75EC1" w:rsidRPr="00A66252">
        <w:rPr>
          <w:lang w:val="fr-FR" w:eastAsia="fr-FR"/>
        </w:rPr>
        <w:t>objet d</w:t>
      </w:r>
      <w:r w:rsidR="00A66252" w:rsidRPr="00A66252">
        <w:rPr>
          <w:lang w:val="fr-FR" w:eastAsia="fr-FR"/>
        </w:rPr>
        <w:t>’</w:t>
      </w:r>
      <w:r w:rsidR="00B75EC1" w:rsidRPr="00A66252">
        <w:rPr>
          <w:lang w:val="fr-FR" w:eastAsia="fr-FR"/>
        </w:rPr>
        <w:t>une mesure d</w:t>
      </w:r>
      <w:r w:rsidR="00A66252" w:rsidRPr="00A66252">
        <w:rPr>
          <w:lang w:val="fr-FR" w:eastAsia="fr-FR"/>
        </w:rPr>
        <w:t>’</w:t>
      </w:r>
      <w:r w:rsidR="00B75EC1" w:rsidRPr="00A66252">
        <w:rPr>
          <w:lang w:val="fr-FR" w:eastAsia="fr-FR"/>
        </w:rPr>
        <w:t>éloignement du territoire et dont l</w:t>
      </w:r>
      <w:r w:rsidR="00A66252" w:rsidRPr="00A66252">
        <w:rPr>
          <w:lang w:val="fr-FR" w:eastAsia="fr-FR"/>
        </w:rPr>
        <w:t>’</w:t>
      </w:r>
      <w:r w:rsidR="00B75EC1" w:rsidRPr="00A66252">
        <w:rPr>
          <w:lang w:val="fr-FR" w:eastAsia="fr-FR"/>
        </w:rPr>
        <w:t>autorisation de séjour a</w:t>
      </w:r>
      <w:r w:rsidR="00354CB5" w:rsidRPr="00A66252">
        <w:rPr>
          <w:lang w:val="fr-FR" w:eastAsia="fr-FR"/>
        </w:rPr>
        <w:t>vait</w:t>
      </w:r>
      <w:r w:rsidR="00B75EC1" w:rsidRPr="00A66252">
        <w:rPr>
          <w:lang w:val="fr-FR" w:eastAsia="fr-FR"/>
        </w:rPr>
        <w:t xml:space="preserve"> été rejetée </w:t>
      </w:r>
      <w:r w:rsidR="00354CB5" w:rsidRPr="00A66252">
        <w:rPr>
          <w:lang w:val="fr-FR" w:eastAsia="fr-FR"/>
        </w:rPr>
        <w:t>devait</w:t>
      </w:r>
      <w:r w:rsidR="00B75EC1" w:rsidRPr="00A66252">
        <w:rPr>
          <w:lang w:val="fr-FR" w:eastAsia="fr-FR"/>
        </w:rPr>
        <w:t xml:space="preserve"> se faire au moment de l</w:t>
      </w:r>
      <w:r w:rsidR="00A66252" w:rsidRPr="00A66252">
        <w:rPr>
          <w:lang w:val="fr-FR" w:eastAsia="fr-FR"/>
        </w:rPr>
        <w:t>’</w:t>
      </w:r>
      <w:r w:rsidR="00B75EC1" w:rsidRPr="00A66252">
        <w:rPr>
          <w:lang w:val="fr-FR" w:eastAsia="fr-FR"/>
        </w:rPr>
        <w:t xml:space="preserve">exécution forcée de </w:t>
      </w:r>
      <w:r w:rsidR="00E74D31" w:rsidRPr="00A66252">
        <w:rPr>
          <w:lang w:val="fr-FR" w:eastAsia="fr-FR"/>
        </w:rPr>
        <w:t xml:space="preserve">cette </w:t>
      </w:r>
      <w:r w:rsidR="00B75EC1" w:rsidRPr="00A66252">
        <w:rPr>
          <w:lang w:val="fr-FR" w:eastAsia="fr-FR"/>
        </w:rPr>
        <w:t xml:space="preserve">mesure et non au moment </w:t>
      </w:r>
      <w:r w:rsidR="0043081D" w:rsidRPr="00A66252">
        <w:rPr>
          <w:lang w:val="fr-FR" w:eastAsia="fr-FR"/>
        </w:rPr>
        <w:t>où elle a</w:t>
      </w:r>
      <w:r w:rsidR="00354CB5" w:rsidRPr="00A66252">
        <w:rPr>
          <w:lang w:val="fr-FR" w:eastAsia="fr-FR"/>
        </w:rPr>
        <w:t>vait</w:t>
      </w:r>
      <w:r w:rsidR="0043081D" w:rsidRPr="00A66252">
        <w:rPr>
          <w:lang w:val="fr-FR" w:eastAsia="fr-FR"/>
        </w:rPr>
        <w:t xml:space="preserve"> été décidée </w:t>
      </w:r>
      <w:r w:rsidR="00F13136" w:rsidRPr="00A66252">
        <w:rPr>
          <w:lang w:val="fr-FR" w:eastAsia="fr-FR"/>
        </w:rPr>
        <w:t xml:space="preserve">(voir paragraphe </w:t>
      </w:r>
      <w:r w:rsidR="008B2666" w:rsidRPr="00A66252">
        <w:rPr>
          <w:lang w:val="fr-FR" w:eastAsia="fr-FR"/>
        </w:rPr>
        <w:fldChar w:fldCharType="begin"/>
      </w:r>
      <w:r w:rsidR="008B2666" w:rsidRPr="00A66252">
        <w:rPr>
          <w:lang w:val="fr-FR" w:eastAsia="fr-FR"/>
        </w:rPr>
        <w:instrText xml:space="preserve"> REF CE9TER2 \h </w:instrText>
      </w:r>
      <w:r w:rsidR="00C93FE5" w:rsidRPr="00A66252">
        <w:rPr>
          <w:lang w:val="fr-FR" w:eastAsia="fr-FR"/>
        </w:rPr>
        <w:instrText xml:space="preserve"> \* MERGEFORMAT </w:instrText>
      </w:r>
      <w:r w:rsidR="008B2666" w:rsidRPr="00A66252">
        <w:rPr>
          <w:lang w:val="fr-FR" w:eastAsia="fr-FR"/>
        </w:rPr>
      </w:r>
      <w:r w:rsidR="008B2666" w:rsidRPr="00A66252">
        <w:rPr>
          <w:lang w:val="fr-FR" w:eastAsia="fr-FR"/>
        </w:rPr>
        <w:fldChar w:fldCharType="separate"/>
      </w:r>
      <w:r w:rsidR="00A66252" w:rsidRPr="00A66252">
        <w:rPr>
          <w:noProof/>
          <w:lang w:val="fr-FR"/>
        </w:rPr>
        <w:t>64</w:t>
      </w:r>
      <w:r w:rsidR="008B2666" w:rsidRPr="00A66252">
        <w:rPr>
          <w:lang w:val="fr-FR" w:eastAsia="fr-FR"/>
        </w:rPr>
        <w:fldChar w:fldCharType="end"/>
      </w:r>
      <w:r w:rsidR="00F13136" w:rsidRPr="00A66252">
        <w:rPr>
          <w:lang w:val="fr-FR" w:eastAsia="fr-FR"/>
        </w:rPr>
        <w:t xml:space="preserve"> ci-dessus)</w:t>
      </w:r>
      <w:r w:rsidR="00B75EC1" w:rsidRPr="00A66252">
        <w:rPr>
          <w:lang w:val="fr-FR" w:eastAsia="fr-FR"/>
        </w:rPr>
        <w:t>.</w:t>
      </w:r>
    </w:p>
    <w:p w:rsidR="00A66252" w:rsidRPr="00A66252" w:rsidRDefault="00D37279" w:rsidP="00A66252">
      <w:pPr>
        <w:pStyle w:val="ECHRPara"/>
        <w:rPr>
          <w:lang w:val="fr-FR" w:eastAsia="fr-FR"/>
        </w:rPr>
      </w:pPr>
      <w:r w:rsidRPr="00A66252">
        <w:rPr>
          <w:lang w:val="fr-FR" w:eastAsia="fr-FR"/>
        </w:rPr>
        <w:lastRenderedPageBreak/>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200</w:t>
      </w:r>
      <w:r w:rsidRPr="00A66252">
        <w:rPr>
          <w:lang w:val="fr-FR" w:eastAsia="fr-FR"/>
        </w:rPr>
        <w:fldChar w:fldCharType="end"/>
      </w:r>
      <w:r w:rsidRPr="00A66252">
        <w:rPr>
          <w:lang w:val="fr-FR" w:eastAsia="fr-FR"/>
        </w:rPr>
        <w:t>.  </w:t>
      </w:r>
      <w:r w:rsidR="00FE2CA1" w:rsidRPr="00A66252">
        <w:rPr>
          <w:lang w:val="fr-FR" w:eastAsia="fr-FR"/>
        </w:rPr>
        <w:t xml:space="preserve">La Cour déduit de ce qui </w:t>
      </w:r>
      <w:r w:rsidR="00277A64" w:rsidRPr="00A66252">
        <w:rPr>
          <w:lang w:val="fr-FR" w:eastAsia="fr-FR"/>
        </w:rPr>
        <w:t>précède que</w:t>
      </w:r>
      <w:r w:rsidR="00A42849" w:rsidRPr="00A66252">
        <w:rPr>
          <w:lang w:val="fr-FR" w:eastAsia="fr-FR"/>
        </w:rPr>
        <w:t>, même si le médecin conseil de l</w:t>
      </w:r>
      <w:r w:rsidR="00A66252" w:rsidRPr="00A66252">
        <w:rPr>
          <w:lang w:val="fr-FR" w:eastAsia="fr-FR"/>
        </w:rPr>
        <w:t>’</w:t>
      </w:r>
      <w:r w:rsidR="00A42849" w:rsidRPr="00A66252">
        <w:rPr>
          <w:lang w:val="fr-FR" w:eastAsia="fr-FR"/>
        </w:rPr>
        <w:t>OE a</w:t>
      </w:r>
      <w:r w:rsidR="00B03373" w:rsidRPr="00A66252">
        <w:rPr>
          <w:lang w:val="fr-FR" w:eastAsia="fr-FR"/>
        </w:rPr>
        <w:t>vait</w:t>
      </w:r>
      <w:r w:rsidR="00A42849" w:rsidRPr="00A66252">
        <w:rPr>
          <w:lang w:val="fr-FR" w:eastAsia="fr-FR"/>
        </w:rPr>
        <w:t xml:space="preserve"> rendu plusieurs avis </w:t>
      </w:r>
      <w:r w:rsidR="00AA313C" w:rsidRPr="00A66252">
        <w:rPr>
          <w:lang w:val="fr-FR" w:eastAsia="fr-FR"/>
        </w:rPr>
        <w:t>à propos de l</w:t>
      </w:r>
      <w:r w:rsidR="00A66252" w:rsidRPr="00A66252">
        <w:rPr>
          <w:lang w:val="fr-FR" w:eastAsia="fr-FR"/>
        </w:rPr>
        <w:t>’</w:t>
      </w:r>
      <w:r w:rsidR="00AA313C" w:rsidRPr="00A66252">
        <w:rPr>
          <w:lang w:val="fr-FR" w:eastAsia="fr-FR"/>
        </w:rPr>
        <w:t xml:space="preserve">état de santé du requérant basés sur les attestions médicales fournies par </w:t>
      </w:r>
      <w:r w:rsidR="006B5AC4" w:rsidRPr="00A66252">
        <w:rPr>
          <w:lang w:val="fr-FR" w:eastAsia="fr-FR"/>
        </w:rPr>
        <w:t>ce dernier</w:t>
      </w:r>
      <w:r w:rsidR="00147DD7" w:rsidRPr="00A66252">
        <w:rPr>
          <w:lang w:val="fr-FR" w:eastAsia="fr-FR"/>
        </w:rPr>
        <w:t xml:space="preserve"> </w:t>
      </w:r>
      <w:r w:rsidR="00BB65BA" w:rsidRPr="00A66252">
        <w:rPr>
          <w:lang w:val="fr-FR" w:eastAsia="fr-FR"/>
        </w:rPr>
        <w:t>(</w:t>
      </w:r>
      <w:r w:rsidR="00B97583" w:rsidRPr="00A66252">
        <w:rPr>
          <w:lang w:val="fr-FR" w:eastAsia="fr-FR"/>
        </w:rPr>
        <w:t xml:space="preserve">voir </w:t>
      </w:r>
      <w:r w:rsidR="00BB65BA" w:rsidRPr="00A66252">
        <w:rPr>
          <w:lang w:val="fr-FR" w:eastAsia="fr-FR"/>
        </w:rPr>
        <w:t>paragraphes</w:t>
      </w:r>
      <w:r w:rsidR="00B97583" w:rsidRPr="00A66252">
        <w:rPr>
          <w:lang w:val="fr-FR" w:eastAsia="fr-FR"/>
        </w:rPr>
        <w:t> </w:t>
      </w:r>
      <w:r w:rsidR="00EB59E9" w:rsidRPr="00A66252">
        <w:rPr>
          <w:lang w:val="fr-FR" w:eastAsia="fr-FR"/>
        </w:rPr>
        <w:fldChar w:fldCharType="begin"/>
      </w:r>
      <w:r w:rsidR="00EB59E9" w:rsidRPr="00A66252">
        <w:rPr>
          <w:lang w:val="fr-FR" w:eastAsia="fr-FR"/>
        </w:rPr>
        <w:instrText xml:space="preserve"> REF OERAPMED0912 \h </w:instrText>
      </w:r>
      <w:r w:rsidR="00C93FE5" w:rsidRPr="00A66252">
        <w:rPr>
          <w:lang w:val="fr-FR" w:eastAsia="fr-FR"/>
        </w:rPr>
        <w:instrText xml:space="preserve"> \* MERGEFORMAT </w:instrText>
      </w:r>
      <w:r w:rsidR="00EB59E9" w:rsidRPr="00A66252">
        <w:rPr>
          <w:lang w:val="fr-FR" w:eastAsia="fr-FR"/>
        </w:rPr>
      </w:r>
      <w:r w:rsidR="00EB59E9" w:rsidRPr="00A66252">
        <w:rPr>
          <w:lang w:val="fr-FR" w:eastAsia="fr-FR"/>
        </w:rPr>
        <w:fldChar w:fldCharType="separate"/>
      </w:r>
      <w:r w:rsidR="00A66252" w:rsidRPr="00A66252">
        <w:rPr>
          <w:noProof/>
          <w:lang w:val="fr-FR"/>
        </w:rPr>
        <w:t>67</w:t>
      </w:r>
      <w:r w:rsidR="00EB59E9" w:rsidRPr="00A66252">
        <w:rPr>
          <w:lang w:val="fr-FR" w:eastAsia="fr-FR"/>
        </w:rPr>
        <w:fldChar w:fldCharType="end"/>
      </w:r>
      <w:r w:rsidR="00E06477" w:rsidRPr="00A66252">
        <w:rPr>
          <w:lang w:val="fr-FR" w:eastAsia="fr-FR"/>
        </w:rPr>
        <w:t>-</w:t>
      </w:r>
      <w:r w:rsidR="00E06477" w:rsidRPr="00A66252">
        <w:rPr>
          <w:lang w:val="fr-FR" w:eastAsia="fr-FR"/>
        </w:rPr>
        <w:fldChar w:fldCharType="begin"/>
      </w:r>
      <w:r w:rsidR="00E06477" w:rsidRPr="00A66252">
        <w:rPr>
          <w:lang w:val="fr-FR" w:eastAsia="fr-FR"/>
        </w:rPr>
        <w:instrText xml:space="preserve"> REF OERAPMED0615 \h </w:instrText>
      </w:r>
      <w:r w:rsidR="00C93FE5" w:rsidRPr="00A66252">
        <w:rPr>
          <w:lang w:val="fr-FR" w:eastAsia="fr-FR"/>
        </w:rPr>
        <w:instrText xml:space="preserve"> \* MERGEFORMAT </w:instrText>
      </w:r>
      <w:r w:rsidR="00E06477" w:rsidRPr="00A66252">
        <w:rPr>
          <w:lang w:val="fr-FR" w:eastAsia="fr-FR"/>
        </w:rPr>
      </w:r>
      <w:r w:rsidR="00E06477" w:rsidRPr="00A66252">
        <w:rPr>
          <w:lang w:val="fr-FR" w:eastAsia="fr-FR"/>
        </w:rPr>
        <w:fldChar w:fldCharType="separate"/>
      </w:r>
      <w:r w:rsidR="00A66252" w:rsidRPr="00A66252">
        <w:rPr>
          <w:noProof/>
          <w:lang w:val="fr-FR"/>
        </w:rPr>
        <w:t>68</w:t>
      </w:r>
      <w:r w:rsidR="00E06477" w:rsidRPr="00A66252">
        <w:rPr>
          <w:lang w:val="fr-FR" w:eastAsia="fr-FR"/>
        </w:rPr>
        <w:fldChar w:fldCharType="end"/>
      </w:r>
      <w:r w:rsidR="00BB65BA" w:rsidRPr="00A66252">
        <w:rPr>
          <w:lang w:val="fr-FR" w:eastAsia="fr-FR"/>
        </w:rPr>
        <w:t xml:space="preserve"> ci-dessus)</w:t>
      </w:r>
      <w:r w:rsidR="00A42849" w:rsidRPr="00A66252">
        <w:rPr>
          <w:lang w:val="fr-FR" w:eastAsia="fr-FR"/>
        </w:rPr>
        <w:t>,</w:t>
      </w:r>
      <w:r w:rsidR="00277A64" w:rsidRPr="00A66252">
        <w:rPr>
          <w:lang w:val="fr-FR" w:eastAsia="fr-FR"/>
        </w:rPr>
        <w:t xml:space="preserve"> </w:t>
      </w:r>
      <w:r w:rsidR="001C0DAF" w:rsidRPr="00A66252">
        <w:rPr>
          <w:lang w:val="fr-FR" w:eastAsia="fr-FR"/>
        </w:rPr>
        <w:t xml:space="preserve">ceux-ci </w:t>
      </w:r>
      <w:r w:rsidR="00304E45" w:rsidRPr="00A66252">
        <w:rPr>
          <w:lang w:val="fr-FR" w:eastAsia="fr-FR"/>
        </w:rPr>
        <w:t>n</w:t>
      </w:r>
      <w:r w:rsidR="00A66252" w:rsidRPr="00A66252">
        <w:rPr>
          <w:lang w:val="fr-FR" w:eastAsia="fr-FR"/>
        </w:rPr>
        <w:t>’</w:t>
      </w:r>
      <w:r w:rsidR="00304E45" w:rsidRPr="00A66252">
        <w:rPr>
          <w:lang w:val="fr-FR" w:eastAsia="fr-FR"/>
        </w:rPr>
        <w:t xml:space="preserve">ont </w:t>
      </w:r>
      <w:r w:rsidR="001C0DAF" w:rsidRPr="00A66252">
        <w:rPr>
          <w:lang w:val="fr-FR" w:eastAsia="fr-FR"/>
        </w:rPr>
        <w:t>été examinés ni par l</w:t>
      </w:r>
      <w:r w:rsidR="00A66252" w:rsidRPr="00A66252">
        <w:rPr>
          <w:lang w:val="fr-FR" w:eastAsia="fr-FR"/>
        </w:rPr>
        <w:t>’</w:t>
      </w:r>
      <w:r w:rsidR="001C0DAF" w:rsidRPr="00A66252">
        <w:rPr>
          <w:lang w:val="fr-FR" w:eastAsia="fr-FR"/>
        </w:rPr>
        <w:t xml:space="preserve">OE ni par le CCE </w:t>
      </w:r>
      <w:r w:rsidR="00AA313C" w:rsidRPr="00A66252">
        <w:rPr>
          <w:lang w:val="fr-FR" w:eastAsia="fr-FR"/>
        </w:rPr>
        <w:t>au regard de l</w:t>
      </w:r>
      <w:r w:rsidR="00A66252" w:rsidRPr="00A66252">
        <w:rPr>
          <w:lang w:val="fr-FR" w:eastAsia="fr-FR"/>
        </w:rPr>
        <w:t>’</w:t>
      </w:r>
      <w:r w:rsidR="00AA313C" w:rsidRPr="00A66252">
        <w:rPr>
          <w:lang w:val="fr-FR" w:eastAsia="fr-FR"/>
        </w:rPr>
        <w:t xml:space="preserve">article 3 de la Convention </w:t>
      </w:r>
      <w:r w:rsidR="00277A64" w:rsidRPr="00A66252">
        <w:rPr>
          <w:lang w:val="fr-FR" w:eastAsia="fr-FR"/>
        </w:rPr>
        <w:t>dans le</w:t>
      </w:r>
      <w:r w:rsidR="00FE2CA1" w:rsidRPr="00A66252">
        <w:rPr>
          <w:lang w:val="fr-FR" w:eastAsia="fr-FR"/>
        </w:rPr>
        <w:t xml:space="preserve"> cadre de la procédure </w:t>
      </w:r>
      <w:r w:rsidR="00AA313C" w:rsidRPr="00A66252">
        <w:rPr>
          <w:lang w:val="fr-FR" w:eastAsia="fr-FR"/>
        </w:rPr>
        <w:t xml:space="preserve">de régularisation </w:t>
      </w:r>
      <w:r w:rsidR="001C0DAF" w:rsidRPr="00A66252">
        <w:rPr>
          <w:lang w:val="fr-FR" w:eastAsia="fr-FR"/>
        </w:rPr>
        <w:t>pour raisons médicales</w:t>
      </w:r>
      <w:r w:rsidR="00AA313C" w:rsidRPr="00A66252">
        <w:rPr>
          <w:lang w:val="fr-FR" w:eastAsia="fr-FR"/>
        </w:rPr>
        <w:t>.</w:t>
      </w:r>
    </w:p>
    <w:bookmarkStart w:id="45" w:name="EVALDEPART"/>
    <w:p w:rsidR="00A66252" w:rsidRPr="00A66252" w:rsidRDefault="00695A04"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201</w:t>
      </w:r>
      <w:r w:rsidRPr="00A66252">
        <w:rPr>
          <w:lang w:val="fr-FR" w:eastAsia="fr-FR"/>
        </w:rPr>
        <w:fldChar w:fldCharType="end"/>
      </w:r>
      <w:bookmarkEnd w:id="45"/>
      <w:r w:rsidRPr="00A66252">
        <w:rPr>
          <w:lang w:val="fr-FR" w:eastAsia="fr-FR"/>
        </w:rPr>
        <w:t>.  La situation médicale du requérant n</w:t>
      </w:r>
      <w:r w:rsidR="00A66252" w:rsidRPr="00A66252">
        <w:rPr>
          <w:lang w:val="fr-FR" w:eastAsia="fr-FR"/>
        </w:rPr>
        <w:t>’</w:t>
      </w:r>
      <w:r w:rsidRPr="00A66252">
        <w:rPr>
          <w:lang w:val="fr-FR" w:eastAsia="fr-FR"/>
        </w:rPr>
        <w:t>a pas davantage été examinée dans le cadre des procédures d</w:t>
      </w:r>
      <w:r w:rsidR="00A66252" w:rsidRPr="00A66252">
        <w:rPr>
          <w:lang w:val="fr-FR" w:eastAsia="fr-FR"/>
        </w:rPr>
        <w:t>’</w:t>
      </w:r>
      <w:r w:rsidRPr="00A66252">
        <w:rPr>
          <w:lang w:val="fr-FR" w:eastAsia="fr-FR"/>
        </w:rPr>
        <w:t>éloignement menées contre lui</w:t>
      </w:r>
      <w:r w:rsidR="002011D4" w:rsidRPr="00A66252">
        <w:rPr>
          <w:lang w:val="fr-FR" w:eastAsia="fr-FR"/>
        </w:rPr>
        <w:t xml:space="preserve"> (voir paragraphe</w:t>
      </w:r>
      <w:r w:rsidR="008B2666" w:rsidRPr="00A66252">
        <w:rPr>
          <w:lang w:val="fr-FR" w:eastAsia="fr-FR"/>
        </w:rPr>
        <w:t xml:space="preserve">s </w:t>
      </w:r>
      <w:r w:rsidR="00EB59E9" w:rsidRPr="00A66252">
        <w:rPr>
          <w:lang w:val="fr-FR" w:eastAsia="fr-FR"/>
        </w:rPr>
        <w:fldChar w:fldCharType="begin"/>
      </w:r>
      <w:r w:rsidR="00EB59E9" w:rsidRPr="00A66252">
        <w:rPr>
          <w:lang w:val="fr-FR" w:eastAsia="fr-FR"/>
        </w:rPr>
        <w:instrText xml:space="preserve"> REF AMRENVOI \h </w:instrText>
      </w:r>
      <w:r w:rsidR="00C93FE5" w:rsidRPr="00A66252">
        <w:rPr>
          <w:lang w:val="fr-FR" w:eastAsia="fr-FR"/>
        </w:rPr>
        <w:instrText xml:space="preserve"> \* MERGEFORMAT </w:instrText>
      </w:r>
      <w:r w:rsidR="00EB59E9" w:rsidRPr="00A66252">
        <w:rPr>
          <w:lang w:val="fr-FR" w:eastAsia="fr-FR"/>
        </w:rPr>
      </w:r>
      <w:r w:rsidR="00EB59E9" w:rsidRPr="00A66252">
        <w:rPr>
          <w:lang w:val="fr-FR" w:eastAsia="fr-FR"/>
        </w:rPr>
        <w:fldChar w:fldCharType="separate"/>
      </w:r>
      <w:r w:rsidR="00A66252" w:rsidRPr="00A66252">
        <w:rPr>
          <w:noProof/>
          <w:lang w:val="fr-FR"/>
        </w:rPr>
        <w:t>73</w:t>
      </w:r>
      <w:r w:rsidR="00EB59E9" w:rsidRPr="00A66252">
        <w:rPr>
          <w:lang w:val="fr-FR" w:eastAsia="fr-FR"/>
        </w:rPr>
        <w:fldChar w:fldCharType="end"/>
      </w:r>
      <w:r w:rsidR="008B2666" w:rsidRPr="00A66252">
        <w:rPr>
          <w:lang w:val="fr-FR" w:eastAsia="fr-FR"/>
        </w:rPr>
        <w:t xml:space="preserve">, </w:t>
      </w:r>
      <w:r w:rsidR="00EB59E9" w:rsidRPr="00A66252">
        <w:rPr>
          <w:lang w:val="fr-FR" w:eastAsia="fr-FR"/>
        </w:rPr>
        <w:fldChar w:fldCharType="begin"/>
      </w:r>
      <w:r w:rsidR="00EB59E9" w:rsidRPr="00A66252">
        <w:rPr>
          <w:lang w:val="fr-FR" w:eastAsia="fr-FR"/>
        </w:rPr>
        <w:instrText xml:space="preserve"> REF OQT0710 \h </w:instrText>
      </w:r>
      <w:r w:rsidR="00C93FE5" w:rsidRPr="00A66252">
        <w:rPr>
          <w:lang w:val="fr-FR" w:eastAsia="fr-FR"/>
        </w:rPr>
        <w:instrText xml:space="preserve"> \* MERGEFORMAT </w:instrText>
      </w:r>
      <w:r w:rsidR="00EB59E9" w:rsidRPr="00A66252">
        <w:rPr>
          <w:lang w:val="fr-FR" w:eastAsia="fr-FR"/>
        </w:rPr>
      </w:r>
      <w:r w:rsidR="00EB59E9" w:rsidRPr="00A66252">
        <w:rPr>
          <w:lang w:val="fr-FR" w:eastAsia="fr-FR"/>
        </w:rPr>
        <w:fldChar w:fldCharType="separate"/>
      </w:r>
      <w:r w:rsidR="00A66252" w:rsidRPr="00A66252">
        <w:rPr>
          <w:noProof/>
          <w:lang w:val="fr-FR"/>
        </w:rPr>
        <w:t>78</w:t>
      </w:r>
      <w:r w:rsidR="00EB59E9" w:rsidRPr="00A66252">
        <w:rPr>
          <w:lang w:val="fr-FR" w:eastAsia="fr-FR"/>
        </w:rPr>
        <w:fldChar w:fldCharType="end"/>
      </w:r>
      <w:r w:rsidR="00EB59E9" w:rsidRPr="00A66252">
        <w:rPr>
          <w:lang w:val="fr-FR" w:eastAsia="fr-FR"/>
        </w:rPr>
        <w:t xml:space="preserve"> et </w:t>
      </w:r>
      <w:r w:rsidR="00F830E6" w:rsidRPr="00A66252">
        <w:rPr>
          <w:lang w:val="fr-FR" w:eastAsia="fr-FR"/>
        </w:rPr>
        <w:fldChar w:fldCharType="begin"/>
      </w:r>
      <w:r w:rsidR="00F830E6" w:rsidRPr="00A66252">
        <w:rPr>
          <w:lang w:val="fr-FR" w:eastAsia="fr-FR"/>
        </w:rPr>
        <w:instrText xml:space="preserve"> REF OQT0212 \h </w:instrText>
      </w:r>
      <w:r w:rsidR="00C93FE5" w:rsidRPr="00A66252">
        <w:rPr>
          <w:lang w:val="fr-FR" w:eastAsia="fr-FR"/>
        </w:rPr>
        <w:instrText xml:space="preserve"> \* MERGEFORMAT </w:instrText>
      </w:r>
      <w:r w:rsidR="00F830E6" w:rsidRPr="00A66252">
        <w:rPr>
          <w:lang w:val="fr-FR" w:eastAsia="fr-FR"/>
        </w:rPr>
      </w:r>
      <w:r w:rsidR="00F830E6" w:rsidRPr="00A66252">
        <w:rPr>
          <w:lang w:val="fr-FR" w:eastAsia="fr-FR"/>
        </w:rPr>
        <w:fldChar w:fldCharType="separate"/>
      </w:r>
      <w:r w:rsidR="00A66252" w:rsidRPr="00A66252">
        <w:rPr>
          <w:noProof/>
          <w:lang w:val="fr-FR"/>
        </w:rPr>
        <w:t>84</w:t>
      </w:r>
      <w:r w:rsidR="00F830E6" w:rsidRPr="00A66252">
        <w:rPr>
          <w:lang w:val="fr-FR" w:eastAsia="fr-FR"/>
        </w:rPr>
        <w:fldChar w:fldCharType="end"/>
      </w:r>
      <w:r w:rsidR="002011D4" w:rsidRPr="00A66252">
        <w:rPr>
          <w:lang w:val="fr-FR" w:eastAsia="fr-FR"/>
        </w:rPr>
        <w:t xml:space="preserve"> ci-dessus)</w:t>
      </w:r>
      <w:r w:rsidRPr="00A66252">
        <w:rPr>
          <w:lang w:val="fr-FR" w:eastAsia="fr-FR"/>
        </w:rPr>
        <w:t>.</w:t>
      </w:r>
    </w:p>
    <w:p w:rsidR="000A66EC" w:rsidRPr="00A66252" w:rsidRDefault="000A66EC" w:rsidP="00A66252">
      <w:pPr>
        <w:pStyle w:val="ECHRPara"/>
        <w:rPr>
          <w:strike/>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202</w:t>
      </w:r>
      <w:r w:rsidRPr="00A66252">
        <w:rPr>
          <w:lang w:val="fr-FR" w:eastAsia="fr-FR"/>
        </w:rPr>
        <w:fldChar w:fldCharType="end"/>
      </w:r>
      <w:r w:rsidRPr="00A66252">
        <w:rPr>
          <w:lang w:val="fr-FR" w:eastAsia="fr-FR"/>
        </w:rPr>
        <w:t>.  </w:t>
      </w:r>
      <w:r w:rsidR="00B97583" w:rsidRPr="00A66252">
        <w:rPr>
          <w:rFonts w:cstheme="minorHAnsi"/>
          <w:lang w:val="fr-FR" w:eastAsia="fr-FR"/>
        </w:rPr>
        <w:t>À</w:t>
      </w:r>
      <w:r w:rsidRPr="00A66252">
        <w:rPr>
          <w:lang w:val="fr-FR" w:eastAsia="fr-FR"/>
        </w:rPr>
        <w:t xml:space="preserve"> elle seule, la circonstance qu</w:t>
      </w:r>
      <w:r w:rsidR="00A66252" w:rsidRPr="00A66252">
        <w:rPr>
          <w:lang w:val="fr-FR" w:eastAsia="fr-FR"/>
        </w:rPr>
        <w:t>’</w:t>
      </w:r>
      <w:r w:rsidRPr="00A66252">
        <w:rPr>
          <w:lang w:val="fr-FR" w:eastAsia="fr-FR"/>
        </w:rPr>
        <w:t xml:space="preserve">une telle évaluation aurait pu être effectuée </w:t>
      </w:r>
      <w:r w:rsidRPr="00A66252">
        <w:rPr>
          <w:i/>
          <w:lang w:val="fr-FR" w:eastAsia="fr-FR"/>
        </w:rPr>
        <w:t>in extremis</w:t>
      </w:r>
      <w:r w:rsidRPr="00A66252">
        <w:rPr>
          <w:lang w:val="fr-FR" w:eastAsia="fr-FR"/>
        </w:rPr>
        <w:t xml:space="preserve"> au moment de l</w:t>
      </w:r>
      <w:r w:rsidR="00A66252" w:rsidRPr="00A66252">
        <w:rPr>
          <w:lang w:val="fr-FR" w:eastAsia="fr-FR"/>
        </w:rPr>
        <w:t>’</w:t>
      </w:r>
      <w:r w:rsidRPr="00A66252">
        <w:rPr>
          <w:lang w:val="fr-FR" w:eastAsia="fr-FR"/>
        </w:rPr>
        <w:t>exécution forcée de la mesure d</w:t>
      </w:r>
      <w:r w:rsidR="00A66252" w:rsidRPr="00A66252">
        <w:rPr>
          <w:lang w:val="fr-FR" w:eastAsia="fr-FR"/>
        </w:rPr>
        <w:t>’</w:t>
      </w:r>
      <w:r w:rsidRPr="00A66252">
        <w:rPr>
          <w:lang w:val="fr-FR" w:eastAsia="fr-FR"/>
        </w:rPr>
        <w:t xml:space="preserve">éloignement (voir paragraphe </w:t>
      </w:r>
      <w:r w:rsidRPr="00A66252">
        <w:rPr>
          <w:lang w:val="fr-FR" w:eastAsia="fr-FR"/>
        </w:rPr>
        <w:fldChar w:fldCharType="begin"/>
      </w:r>
      <w:r w:rsidRPr="00A66252">
        <w:rPr>
          <w:lang w:val="fr-FR" w:eastAsia="fr-FR"/>
        </w:rPr>
        <w:instrText xml:space="preserve"> REF RAPPELPROCINT \h </w:instrText>
      </w:r>
      <w:r w:rsidR="0080142D" w:rsidRPr="00A66252">
        <w:rPr>
          <w:lang w:val="fr-FR" w:eastAsia="fr-FR"/>
        </w:rPr>
        <w:instrText xml:space="preserve"> \* MERGEFORMAT </w:instrText>
      </w:r>
      <w:r w:rsidRPr="00A66252">
        <w:rPr>
          <w:lang w:val="fr-FR" w:eastAsia="fr-FR"/>
        </w:rPr>
      </w:r>
      <w:r w:rsidRPr="00A66252">
        <w:rPr>
          <w:lang w:val="fr-FR" w:eastAsia="fr-FR"/>
        </w:rPr>
        <w:fldChar w:fldCharType="separate"/>
      </w:r>
      <w:r w:rsidR="00A66252" w:rsidRPr="00A66252">
        <w:rPr>
          <w:noProof/>
          <w:lang w:val="fr-FR" w:eastAsia="fr-FR"/>
        </w:rPr>
        <w:t>199</w:t>
      </w:r>
      <w:r w:rsidRPr="00A66252">
        <w:rPr>
          <w:lang w:val="fr-FR" w:eastAsia="fr-FR"/>
        </w:rPr>
        <w:fldChar w:fldCharType="end"/>
      </w:r>
      <w:r w:rsidRPr="00A66252">
        <w:rPr>
          <w:lang w:val="fr-FR" w:eastAsia="fr-FR"/>
        </w:rPr>
        <w:t xml:space="preserve"> </w:t>
      </w:r>
      <w:r w:rsidRPr="00A66252">
        <w:rPr>
          <w:i/>
          <w:lang w:val="fr-FR" w:eastAsia="fr-FR"/>
        </w:rPr>
        <w:t>in fine</w:t>
      </w:r>
      <w:r w:rsidRPr="00A66252">
        <w:rPr>
          <w:lang w:val="fr-FR" w:eastAsia="fr-FR"/>
        </w:rPr>
        <w:t>, ci-dessus), ne répond pas à ces préoccupations, en l</w:t>
      </w:r>
      <w:r w:rsidR="00A66252" w:rsidRPr="00A66252">
        <w:rPr>
          <w:lang w:val="fr-FR" w:eastAsia="fr-FR"/>
        </w:rPr>
        <w:t>’</w:t>
      </w:r>
      <w:r w:rsidRPr="00A66252">
        <w:rPr>
          <w:lang w:val="fr-FR" w:eastAsia="fr-FR"/>
        </w:rPr>
        <w:t>absence d</w:t>
      </w:r>
      <w:r w:rsidR="00A66252" w:rsidRPr="00A66252">
        <w:rPr>
          <w:lang w:val="fr-FR" w:eastAsia="fr-FR"/>
        </w:rPr>
        <w:t>’</w:t>
      </w:r>
      <w:r w:rsidRPr="00A66252">
        <w:rPr>
          <w:lang w:val="fr-FR" w:eastAsia="fr-FR"/>
        </w:rPr>
        <w:t>indications quant à l</w:t>
      </w:r>
      <w:r w:rsidR="00A66252" w:rsidRPr="00A66252">
        <w:rPr>
          <w:lang w:val="fr-FR" w:eastAsia="fr-FR"/>
        </w:rPr>
        <w:t>’</w:t>
      </w:r>
      <w:r w:rsidRPr="00A66252">
        <w:rPr>
          <w:lang w:val="fr-FR" w:eastAsia="fr-FR"/>
        </w:rPr>
        <w:t>étendue d</w:t>
      </w:r>
      <w:r w:rsidR="00A66252" w:rsidRPr="00A66252">
        <w:rPr>
          <w:lang w:val="fr-FR" w:eastAsia="fr-FR"/>
        </w:rPr>
        <w:t>’</w:t>
      </w:r>
      <w:r w:rsidRPr="00A66252">
        <w:rPr>
          <w:lang w:val="fr-FR" w:eastAsia="fr-FR"/>
        </w:rPr>
        <w:t>un tel examen et quant à ses effets sur la nature exécutoire de l</w:t>
      </w:r>
      <w:r w:rsidR="00A66252" w:rsidRPr="00A66252">
        <w:rPr>
          <w:lang w:val="fr-FR" w:eastAsia="fr-FR"/>
        </w:rPr>
        <w:t>’</w:t>
      </w:r>
      <w:r w:rsidRPr="00A66252">
        <w:rPr>
          <w:lang w:val="fr-FR" w:eastAsia="fr-FR"/>
        </w:rPr>
        <w:t>ordre de quitter le territoire.</w:t>
      </w:r>
    </w:p>
    <w:p w:rsidR="00705C5F" w:rsidRPr="00A66252" w:rsidRDefault="000A66EC" w:rsidP="00A66252">
      <w:pPr>
        <w:pStyle w:val="ECHRPara"/>
        <w:rPr>
          <w:lang w:val="fr-FR" w:eastAsia="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203</w:t>
      </w:r>
      <w:r w:rsidRPr="00A66252">
        <w:rPr>
          <w:lang w:val="fr-FR" w:eastAsia="fr-FR"/>
        </w:rPr>
        <w:fldChar w:fldCharType="end"/>
      </w:r>
      <w:r w:rsidRPr="00A66252">
        <w:rPr>
          <w:lang w:val="fr-FR" w:eastAsia="fr-FR"/>
        </w:rPr>
        <w:t>.  </w:t>
      </w:r>
      <w:r w:rsidR="00D629AB" w:rsidRPr="00A66252">
        <w:rPr>
          <w:lang w:val="fr-FR"/>
        </w:rPr>
        <w:t>Il est vrai qu</w:t>
      </w:r>
      <w:r w:rsidR="00A66252" w:rsidRPr="00A66252">
        <w:rPr>
          <w:lang w:val="fr-FR"/>
        </w:rPr>
        <w:t>’</w:t>
      </w:r>
      <w:r w:rsidR="00D629AB" w:rsidRPr="00A66252">
        <w:rPr>
          <w:lang w:val="fr-FR"/>
        </w:rPr>
        <w:t>à l</w:t>
      </w:r>
      <w:r w:rsidR="00A66252" w:rsidRPr="00A66252">
        <w:rPr>
          <w:lang w:val="fr-FR"/>
        </w:rPr>
        <w:t>’</w:t>
      </w:r>
      <w:r w:rsidR="00D629AB" w:rsidRPr="00A66252">
        <w:rPr>
          <w:lang w:val="fr-FR"/>
        </w:rPr>
        <w:t xml:space="preserve">audience du </w:t>
      </w:r>
      <w:r w:rsidR="00E31474" w:rsidRPr="00A66252">
        <w:rPr>
          <w:lang w:val="fr-FR"/>
        </w:rPr>
        <w:t>15 septembre</w:t>
      </w:r>
      <w:r w:rsidR="00D629AB" w:rsidRPr="00A66252">
        <w:rPr>
          <w:lang w:val="fr-FR"/>
        </w:rPr>
        <w:t xml:space="preserve"> 201</w:t>
      </w:r>
      <w:r w:rsidR="00E31474" w:rsidRPr="00A66252">
        <w:rPr>
          <w:lang w:val="fr-FR"/>
        </w:rPr>
        <w:t>5,</w:t>
      </w:r>
      <w:r w:rsidR="00D629AB" w:rsidRPr="00A66252">
        <w:rPr>
          <w:lang w:val="fr-FR"/>
        </w:rPr>
        <w:t xml:space="preserve"> le gouvernement </w:t>
      </w:r>
      <w:r w:rsidR="00E31474" w:rsidRPr="00A66252">
        <w:rPr>
          <w:lang w:val="fr-FR"/>
        </w:rPr>
        <w:t>belge</w:t>
      </w:r>
      <w:r w:rsidR="00D629AB" w:rsidRPr="00A66252">
        <w:rPr>
          <w:lang w:val="fr-FR"/>
        </w:rPr>
        <w:t xml:space="preserve"> </w:t>
      </w:r>
      <w:r w:rsidR="00E00159" w:rsidRPr="00A66252">
        <w:rPr>
          <w:lang w:val="fr-FR"/>
        </w:rPr>
        <w:t xml:space="preserve">a assuré que dans </w:t>
      </w:r>
      <w:r w:rsidR="00E00159" w:rsidRPr="00A66252">
        <w:rPr>
          <w:lang w:val="fr-FR" w:eastAsia="fr-FR"/>
        </w:rPr>
        <w:t>l</w:t>
      </w:r>
      <w:r w:rsidR="00A66252" w:rsidRPr="00A66252">
        <w:rPr>
          <w:lang w:val="fr-FR" w:eastAsia="fr-FR"/>
        </w:rPr>
        <w:t>’</w:t>
      </w:r>
      <w:r w:rsidR="00E00159" w:rsidRPr="00A66252">
        <w:rPr>
          <w:lang w:val="fr-FR" w:eastAsia="fr-FR"/>
        </w:rPr>
        <w:t xml:space="preserve">hypothèse où </w:t>
      </w:r>
      <w:r w:rsidR="002B680D" w:rsidRPr="00A66252">
        <w:rPr>
          <w:lang w:val="fr-FR" w:eastAsia="fr-FR"/>
        </w:rPr>
        <w:t xml:space="preserve">il </w:t>
      </w:r>
      <w:r w:rsidR="00304E45" w:rsidRPr="00A66252">
        <w:rPr>
          <w:lang w:val="fr-FR" w:eastAsia="fr-FR"/>
        </w:rPr>
        <w:t>aurait finalement été</w:t>
      </w:r>
      <w:r w:rsidR="00B03373" w:rsidRPr="00A66252">
        <w:rPr>
          <w:lang w:val="fr-FR" w:eastAsia="fr-FR"/>
        </w:rPr>
        <w:t xml:space="preserve"> </w:t>
      </w:r>
      <w:r w:rsidR="002B680D" w:rsidRPr="00A66252">
        <w:rPr>
          <w:lang w:val="fr-FR" w:eastAsia="fr-FR"/>
        </w:rPr>
        <w:t xml:space="preserve">décidé de procéder à une </w:t>
      </w:r>
      <w:r w:rsidR="00E00159" w:rsidRPr="00A66252">
        <w:rPr>
          <w:lang w:val="fr-FR" w:eastAsia="fr-FR"/>
        </w:rPr>
        <w:t>allogreffe en Belgique, les autorités belges n</w:t>
      </w:r>
      <w:r w:rsidR="00A66252" w:rsidRPr="00A66252">
        <w:rPr>
          <w:lang w:val="fr-FR" w:eastAsia="fr-FR"/>
        </w:rPr>
        <w:t>’</w:t>
      </w:r>
      <w:r w:rsidR="00B03373" w:rsidRPr="00A66252">
        <w:rPr>
          <w:lang w:val="fr-FR" w:eastAsia="fr-FR"/>
        </w:rPr>
        <w:t>auraient pris</w:t>
      </w:r>
      <w:r w:rsidR="00E00159" w:rsidRPr="00A66252">
        <w:rPr>
          <w:lang w:val="fr-FR" w:eastAsia="fr-FR"/>
        </w:rPr>
        <w:t xml:space="preserve"> aucune disposition pour l</w:t>
      </w:r>
      <w:r w:rsidR="00A66252" w:rsidRPr="00A66252">
        <w:rPr>
          <w:lang w:val="fr-FR" w:eastAsia="fr-FR"/>
        </w:rPr>
        <w:t>’</w:t>
      </w:r>
      <w:r w:rsidR="00E00159" w:rsidRPr="00A66252">
        <w:rPr>
          <w:lang w:val="fr-FR" w:eastAsia="fr-FR"/>
        </w:rPr>
        <w:t>en empêcher ou éloigner le requérant alors qu</w:t>
      </w:r>
      <w:r w:rsidR="00A66252" w:rsidRPr="00A66252">
        <w:rPr>
          <w:lang w:val="fr-FR" w:eastAsia="fr-FR"/>
        </w:rPr>
        <w:t>’</w:t>
      </w:r>
      <w:r w:rsidR="00E00159" w:rsidRPr="00A66252">
        <w:rPr>
          <w:lang w:val="fr-FR" w:eastAsia="fr-FR"/>
        </w:rPr>
        <w:t xml:space="preserve">il </w:t>
      </w:r>
      <w:r w:rsidR="00B03373" w:rsidRPr="00A66252">
        <w:rPr>
          <w:lang w:val="fr-FR" w:eastAsia="fr-FR"/>
        </w:rPr>
        <w:t xml:space="preserve">était </w:t>
      </w:r>
      <w:r w:rsidR="00E00159" w:rsidRPr="00A66252">
        <w:rPr>
          <w:lang w:val="fr-FR" w:eastAsia="fr-FR"/>
        </w:rPr>
        <w:t>à l</w:t>
      </w:r>
      <w:r w:rsidR="00A66252" w:rsidRPr="00A66252">
        <w:rPr>
          <w:lang w:val="fr-FR" w:eastAsia="fr-FR"/>
        </w:rPr>
        <w:t>’</w:t>
      </w:r>
      <w:r w:rsidR="00E00159" w:rsidRPr="00A66252">
        <w:rPr>
          <w:lang w:val="fr-FR" w:eastAsia="fr-FR"/>
        </w:rPr>
        <w:t xml:space="preserve">hôpital. </w:t>
      </w:r>
      <w:r w:rsidR="00705C5F" w:rsidRPr="00A66252">
        <w:rPr>
          <w:lang w:val="fr-FR" w:eastAsia="fr-FR"/>
        </w:rPr>
        <w:t>La Cour prend acte de cette déclaration.</w:t>
      </w:r>
    </w:p>
    <w:p w:rsidR="00705C5F" w:rsidRPr="00A66252" w:rsidRDefault="00EE095D" w:rsidP="00A66252">
      <w:pPr>
        <w:pStyle w:val="ECHRPara"/>
        <w:rPr>
          <w:lang w:val="fr-FR"/>
        </w:rPr>
      </w:pPr>
      <w:r w:rsidRPr="00A66252">
        <w:rPr>
          <w:lang w:val="fr-FR" w:eastAsia="fr-FR"/>
        </w:rPr>
        <w:fldChar w:fldCharType="begin"/>
      </w:r>
      <w:r w:rsidRPr="00A66252">
        <w:rPr>
          <w:lang w:val="fr-FR" w:eastAsia="fr-FR"/>
        </w:rPr>
        <w:instrText xml:space="preserve"> SEQ level0 \*arabic </w:instrText>
      </w:r>
      <w:r w:rsidRPr="00A66252">
        <w:rPr>
          <w:lang w:val="fr-FR" w:eastAsia="fr-FR"/>
        </w:rPr>
        <w:fldChar w:fldCharType="separate"/>
      </w:r>
      <w:r w:rsidR="00A66252" w:rsidRPr="00A66252">
        <w:rPr>
          <w:noProof/>
          <w:lang w:val="fr-FR" w:eastAsia="fr-FR"/>
        </w:rPr>
        <w:t>204</w:t>
      </w:r>
      <w:r w:rsidRPr="00A66252">
        <w:rPr>
          <w:lang w:val="fr-FR" w:eastAsia="fr-FR"/>
        </w:rPr>
        <w:fldChar w:fldCharType="end"/>
      </w:r>
      <w:r w:rsidRPr="00A66252">
        <w:rPr>
          <w:lang w:val="fr-FR" w:eastAsia="fr-FR"/>
        </w:rPr>
        <w:t>.  </w:t>
      </w:r>
      <w:r w:rsidR="00E00159" w:rsidRPr="00A66252">
        <w:rPr>
          <w:lang w:val="fr-FR" w:eastAsia="fr-FR"/>
        </w:rPr>
        <w:t xml:space="preserve">De plus, </w:t>
      </w:r>
      <w:r w:rsidR="00A42849" w:rsidRPr="00A66252">
        <w:rPr>
          <w:lang w:val="fr-FR" w:eastAsia="fr-FR"/>
        </w:rPr>
        <w:t xml:space="preserve">selon le Gouvernement, </w:t>
      </w:r>
      <w:r w:rsidR="007A490B" w:rsidRPr="00A66252">
        <w:rPr>
          <w:lang w:val="fr-FR"/>
        </w:rPr>
        <w:t>il</w:t>
      </w:r>
      <w:r w:rsidR="007A490B" w:rsidRPr="00A66252">
        <w:rPr>
          <w:lang w:val="fr-FR" w:eastAsia="fr-FR"/>
        </w:rPr>
        <w:t xml:space="preserve"> </w:t>
      </w:r>
      <w:r w:rsidR="00B03373" w:rsidRPr="00A66252">
        <w:rPr>
          <w:lang w:val="fr-FR" w:eastAsia="fr-FR"/>
        </w:rPr>
        <w:t xml:space="preserve">aurait pu </w:t>
      </w:r>
      <w:r w:rsidR="007A490B" w:rsidRPr="00A66252">
        <w:rPr>
          <w:lang w:val="fr-FR" w:eastAsia="fr-FR"/>
        </w:rPr>
        <w:t xml:space="preserve">être envisagé que la continuité du traitement </w:t>
      </w:r>
      <w:r w:rsidR="002677C0" w:rsidRPr="00A66252">
        <w:rPr>
          <w:lang w:val="fr-FR" w:eastAsia="fr-FR"/>
        </w:rPr>
        <w:t>dont bénéfici</w:t>
      </w:r>
      <w:r w:rsidR="00B03373" w:rsidRPr="00A66252">
        <w:rPr>
          <w:lang w:val="fr-FR" w:eastAsia="fr-FR"/>
        </w:rPr>
        <w:t>ait</w:t>
      </w:r>
      <w:r w:rsidR="002677C0" w:rsidRPr="00A66252">
        <w:rPr>
          <w:lang w:val="fr-FR" w:eastAsia="fr-FR"/>
        </w:rPr>
        <w:t xml:space="preserve"> le requérant</w:t>
      </w:r>
      <w:r w:rsidR="007A490B" w:rsidRPr="00A66252">
        <w:rPr>
          <w:lang w:val="fr-FR" w:eastAsia="fr-FR"/>
        </w:rPr>
        <w:t xml:space="preserve"> </w:t>
      </w:r>
      <w:r w:rsidR="00B03373" w:rsidRPr="00A66252">
        <w:rPr>
          <w:lang w:val="fr-FR" w:eastAsia="fr-FR"/>
        </w:rPr>
        <w:t xml:space="preserve">ait été </w:t>
      </w:r>
      <w:r w:rsidR="006B5AC4" w:rsidRPr="00A66252">
        <w:rPr>
          <w:lang w:val="fr-FR" w:eastAsia="fr-FR"/>
        </w:rPr>
        <w:t xml:space="preserve">assurée </w:t>
      </w:r>
      <w:r w:rsidR="007A490B" w:rsidRPr="00A66252">
        <w:rPr>
          <w:lang w:val="fr-FR" w:eastAsia="fr-FR"/>
        </w:rPr>
        <w:t>par le biais d</w:t>
      </w:r>
      <w:r w:rsidR="00A66252" w:rsidRPr="00A66252">
        <w:rPr>
          <w:lang w:val="fr-FR" w:eastAsia="fr-FR"/>
        </w:rPr>
        <w:t>’</w:t>
      </w:r>
      <w:r w:rsidR="007A490B" w:rsidRPr="00A66252">
        <w:rPr>
          <w:lang w:val="fr-FR" w:eastAsia="fr-FR"/>
        </w:rPr>
        <w:t xml:space="preserve">envois postaux sous le contrôle de son médecin </w:t>
      </w:r>
      <w:r w:rsidR="00F7184B" w:rsidRPr="00A66252">
        <w:rPr>
          <w:lang w:val="fr-FR" w:eastAsia="fr-FR"/>
        </w:rPr>
        <w:t>traitant</w:t>
      </w:r>
      <w:r w:rsidR="007A490B" w:rsidRPr="00A66252">
        <w:rPr>
          <w:lang w:val="fr-FR" w:eastAsia="fr-FR"/>
        </w:rPr>
        <w:t xml:space="preserve"> et avec l</w:t>
      </w:r>
      <w:r w:rsidR="00A66252" w:rsidRPr="00A66252">
        <w:rPr>
          <w:lang w:val="fr-FR" w:eastAsia="fr-FR"/>
        </w:rPr>
        <w:t>’</w:t>
      </w:r>
      <w:r w:rsidR="007A490B" w:rsidRPr="00A66252">
        <w:rPr>
          <w:lang w:val="fr-FR" w:eastAsia="fr-FR"/>
        </w:rPr>
        <w:t xml:space="preserve">assistance de médecins géorgiens. </w:t>
      </w:r>
      <w:r w:rsidR="00D629AB" w:rsidRPr="00A66252">
        <w:rPr>
          <w:lang w:val="fr-FR"/>
        </w:rPr>
        <w:t xml:space="preserve">Toutefois, </w:t>
      </w:r>
      <w:r w:rsidR="00705C5F" w:rsidRPr="00A66252">
        <w:rPr>
          <w:lang w:val="fr-FR"/>
        </w:rPr>
        <w:t>le Gouvernement n</w:t>
      </w:r>
      <w:r w:rsidR="00A66252" w:rsidRPr="00A66252">
        <w:rPr>
          <w:lang w:val="fr-FR"/>
        </w:rPr>
        <w:t>’</w:t>
      </w:r>
      <w:r w:rsidR="00705C5F" w:rsidRPr="00A66252">
        <w:rPr>
          <w:lang w:val="fr-FR"/>
        </w:rPr>
        <w:t>a pas fourni d</w:t>
      </w:r>
      <w:r w:rsidR="00A66252" w:rsidRPr="00A66252">
        <w:rPr>
          <w:lang w:val="fr-FR"/>
        </w:rPr>
        <w:t>’</w:t>
      </w:r>
      <w:r w:rsidR="00705C5F" w:rsidRPr="00A66252">
        <w:rPr>
          <w:lang w:val="fr-FR"/>
        </w:rPr>
        <w:t xml:space="preserve">éléments concrets relatifs </w:t>
      </w:r>
      <w:r w:rsidR="00D629AB" w:rsidRPr="00A66252">
        <w:rPr>
          <w:lang w:val="fr-FR"/>
        </w:rPr>
        <w:t xml:space="preserve">à la </w:t>
      </w:r>
      <w:r w:rsidR="009C4327" w:rsidRPr="00A66252">
        <w:rPr>
          <w:lang w:val="fr-FR"/>
        </w:rPr>
        <w:t>faisabilité pratique d</w:t>
      </w:r>
      <w:r w:rsidR="00A66252" w:rsidRPr="00A66252">
        <w:rPr>
          <w:lang w:val="fr-FR"/>
        </w:rPr>
        <w:t>’</w:t>
      </w:r>
      <w:r w:rsidR="009C4327" w:rsidRPr="00A66252">
        <w:rPr>
          <w:lang w:val="fr-FR"/>
        </w:rPr>
        <w:t>une telle solution</w:t>
      </w:r>
      <w:r w:rsidR="00705C5F" w:rsidRPr="00A66252">
        <w:rPr>
          <w:lang w:val="fr-FR"/>
        </w:rPr>
        <w:t>.</w:t>
      </w:r>
    </w:p>
    <w:bookmarkStart w:id="46" w:name="ART3CONCL"/>
    <w:p w:rsidR="002B680D" w:rsidRPr="00A66252" w:rsidRDefault="00D3727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205</w:t>
      </w:r>
      <w:r w:rsidRPr="00A66252">
        <w:rPr>
          <w:lang w:val="fr-FR"/>
        </w:rPr>
        <w:fldChar w:fldCharType="end"/>
      </w:r>
      <w:bookmarkEnd w:id="46"/>
      <w:r w:rsidRPr="00A66252">
        <w:rPr>
          <w:lang w:val="fr-FR"/>
        </w:rPr>
        <w:t>.  </w:t>
      </w:r>
      <w:r w:rsidR="00743283" w:rsidRPr="00A66252">
        <w:rPr>
          <w:lang w:val="fr-FR"/>
        </w:rPr>
        <w:t>En conclusion, l</w:t>
      </w:r>
      <w:r w:rsidR="006C4998" w:rsidRPr="00A66252">
        <w:rPr>
          <w:lang w:val="fr-FR"/>
        </w:rPr>
        <w:t>a Cour estime qu</w:t>
      </w:r>
      <w:r w:rsidR="00A66252" w:rsidRPr="00A66252">
        <w:rPr>
          <w:lang w:val="fr-FR"/>
        </w:rPr>
        <w:t>’</w:t>
      </w:r>
      <w:r w:rsidR="006C4998" w:rsidRPr="00A66252">
        <w:rPr>
          <w:lang w:val="fr-FR"/>
        </w:rPr>
        <w:t>en l</w:t>
      </w:r>
      <w:r w:rsidR="00A66252" w:rsidRPr="00A66252">
        <w:rPr>
          <w:lang w:val="fr-FR"/>
        </w:rPr>
        <w:t>’</w:t>
      </w:r>
      <w:r w:rsidR="006C4998" w:rsidRPr="00A66252">
        <w:rPr>
          <w:lang w:val="fr-FR"/>
        </w:rPr>
        <w:t>absence d</w:t>
      </w:r>
      <w:r w:rsidR="00A66252" w:rsidRPr="00A66252">
        <w:rPr>
          <w:lang w:val="fr-FR"/>
        </w:rPr>
        <w:t>’</w:t>
      </w:r>
      <w:r w:rsidR="006C4998" w:rsidRPr="00A66252">
        <w:rPr>
          <w:lang w:val="fr-FR"/>
        </w:rPr>
        <w:t>évaluation par les instances nationales du risque encouru par le requérant à la lumière des données relatives à son état de santé et à l</w:t>
      </w:r>
      <w:r w:rsidR="00A66252" w:rsidRPr="00A66252">
        <w:rPr>
          <w:lang w:val="fr-FR"/>
        </w:rPr>
        <w:t>’</w:t>
      </w:r>
      <w:r w:rsidR="006C4998" w:rsidRPr="00A66252">
        <w:rPr>
          <w:lang w:val="fr-FR"/>
        </w:rPr>
        <w:t xml:space="preserve">existence de traitements adéquats en Géorgie, </w:t>
      </w:r>
      <w:r w:rsidR="00396C5F" w:rsidRPr="00A66252">
        <w:rPr>
          <w:lang w:val="fr-FR"/>
        </w:rPr>
        <w:t>les éléments d</w:t>
      </w:r>
      <w:r w:rsidR="00A66252" w:rsidRPr="00A66252">
        <w:rPr>
          <w:lang w:val="fr-FR"/>
        </w:rPr>
        <w:t>’</w:t>
      </w:r>
      <w:r w:rsidR="00396C5F" w:rsidRPr="00A66252">
        <w:rPr>
          <w:lang w:val="fr-FR"/>
        </w:rPr>
        <w:t>information dont dispos</w:t>
      </w:r>
      <w:r w:rsidR="006D3862" w:rsidRPr="00A66252">
        <w:rPr>
          <w:lang w:val="fr-FR"/>
        </w:rPr>
        <w:t>ai</w:t>
      </w:r>
      <w:r w:rsidR="00396C5F" w:rsidRPr="00A66252">
        <w:rPr>
          <w:lang w:val="fr-FR"/>
        </w:rPr>
        <w:t xml:space="preserve">ent </w:t>
      </w:r>
      <w:r w:rsidR="006C4998" w:rsidRPr="00A66252">
        <w:rPr>
          <w:lang w:val="fr-FR"/>
        </w:rPr>
        <w:t xml:space="preserve">ces instances ne </w:t>
      </w:r>
      <w:r w:rsidR="00396C5F" w:rsidRPr="00A66252">
        <w:rPr>
          <w:lang w:val="fr-FR"/>
        </w:rPr>
        <w:t>suffis</w:t>
      </w:r>
      <w:r w:rsidR="006D3862" w:rsidRPr="00A66252">
        <w:rPr>
          <w:lang w:val="fr-FR"/>
        </w:rPr>
        <w:t>ai</w:t>
      </w:r>
      <w:r w:rsidR="00396C5F" w:rsidRPr="00A66252">
        <w:rPr>
          <w:lang w:val="fr-FR"/>
        </w:rPr>
        <w:t xml:space="preserve">ent </w:t>
      </w:r>
      <w:r w:rsidR="002B680D" w:rsidRPr="00A66252">
        <w:rPr>
          <w:lang w:val="fr-FR"/>
        </w:rPr>
        <w:t xml:space="preserve">pas </w:t>
      </w:r>
      <w:r w:rsidR="004E7037" w:rsidRPr="00A66252">
        <w:rPr>
          <w:lang w:val="fr-FR"/>
        </w:rPr>
        <w:t xml:space="preserve">à </w:t>
      </w:r>
      <w:r w:rsidR="00396C5F" w:rsidRPr="00A66252">
        <w:rPr>
          <w:lang w:val="fr-FR"/>
        </w:rPr>
        <w:t xml:space="preserve">leur permettre de conclure </w:t>
      </w:r>
      <w:r w:rsidR="006C4998" w:rsidRPr="00A66252">
        <w:rPr>
          <w:lang w:val="fr-FR"/>
        </w:rPr>
        <w:t>qu</w:t>
      </w:r>
      <w:r w:rsidR="00A66252" w:rsidRPr="00A66252">
        <w:rPr>
          <w:lang w:val="fr-FR"/>
        </w:rPr>
        <w:t>’</w:t>
      </w:r>
      <w:r w:rsidR="006C4998" w:rsidRPr="00A66252">
        <w:rPr>
          <w:lang w:val="fr-FR"/>
        </w:rPr>
        <w:t xml:space="preserve">en cas de renvoi vers la Géorgie, le requérant </w:t>
      </w:r>
      <w:r w:rsidR="006D3862" w:rsidRPr="00A66252">
        <w:rPr>
          <w:lang w:val="fr-FR"/>
        </w:rPr>
        <w:t>n</w:t>
      </w:r>
      <w:r w:rsidR="00A66252" w:rsidRPr="00A66252">
        <w:rPr>
          <w:lang w:val="fr-FR"/>
        </w:rPr>
        <w:t>’</w:t>
      </w:r>
      <w:r w:rsidR="006D3862" w:rsidRPr="00A66252">
        <w:rPr>
          <w:lang w:val="fr-FR"/>
        </w:rPr>
        <w:t>aurait pas couru</w:t>
      </w:r>
      <w:r w:rsidR="006C4998" w:rsidRPr="00A66252">
        <w:rPr>
          <w:lang w:val="fr-FR"/>
        </w:rPr>
        <w:t xml:space="preserve"> de risque concret et réel de traitements contraires à l</w:t>
      </w:r>
      <w:r w:rsidR="00A66252" w:rsidRPr="00A66252">
        <w:rPr>
          <w:lang w:val="fr-FR"/>
        </w:rPr>
        <w:t>’</w:t>
      </w:r>
      <w:r w:rsidR="006C4998" w:rsidRPr="00A66252">
        <w:rPr>
          <w:lang w:val="fr-FR"/>
        </w:rPr>
        <w:t>article 3 de la Convention</w:t>
      </w:r>
      <w:r w:rsidR="00E7233F" w:rsidRPr="00A66252">
        <w:rPr>
          <w:lang w:val="fr-FR"/>
        </w:rPr>
        <w:t xml:space="preserve"> (voir paragraphe</w:t>
      </w:r>
      <w:r w:rsidR="00C93FE5" w:rsidRPr="00A66252">
        <w:rPr>
          <w:lang w:val="fr-FR"/>
        </w:rPr>
        <w:t> </w:t>
      </w:r>
      <w:r w:rsidR="004826B5" w:rsidRPr="00A66252">
        <w:rPr>
          <w:lang w:val="fr-FR"/>
        </w:rPr>
        <w:fldChar w:fldCharType="begin"/>
      </w:r>
      <w:r w:rsidR="004826B5" w:rsidRPr="00A66252">
        <w:rPr>
          <w:lang w:val="fr-FR"/>
        </w:rPr>
        <w:instrText xml:space="preserve"> REF NVSEUIL1 \h </w:instrText>
      </w:r>
      <w:r w:rsidR="00C93FE5" w:rsidRPr="00A66252">
        <w:rPr>
          <w:lang w:val="fr-FR"/>
        </w:rPr>
        <w:instrText xml:space="preserve"> \* MERGEFORMAT </w:instrText>
      </w:r>
      <w:r w:rsidR="004826B5" w:rsidRPr="00A66252">
        <w:rPr>
          <w:lang w:val="fr-FR"/>
        </w:rPr>
      </w:r>
      <w:r w:rsidR="004826B5" w:rsidRPr="00A66252">
        <w:rPr>
          <w:lang w:val="fr-FR"/>
        </w:rPr>
        <w:fldChar w:fldCharType="separate"/>
      </w:r>
      <w:r w:rsidR="00A66252" w:rsidRPr="00A66252">
        <w:rPr>
          <w:noProof/>
          <w:lang w:val="fr-FR" w:eastAsia="fr-FR"/>
        </w:rPr>
        <w:t>183</w:t>
      </w:r>
      <w:r w:rsidR="004826B5" w:rsidRPr="00A66252">
        <w:rPr>
          <w:lang w:val="fr-FR"/>
        </w:rPr>
        <w:fldChar w:fldCharType="end"/>
      </w:r>
      <w:r w:rsidR="00E7233F" w:rsidRPr="00A66252">
        <w:rPr>
          <w:lang w:val="fr-FR"/>
        </w:rPr>
        <w:t>, ci-dessus)</w:t>
      </w:r>
      <w:r w:rsidR="00B97583" w:rsidRPr="00A66252">
        <w:rPr>
          <w:lang w:val="fr-FR"/>
        </w:rPr>
        <w:t>.</w:t>
      </w:r>
    </w:p>
    <w:bookmarkStart w:id="47" w:name="ART3CONCLFINE"/>
    <w:p w:rsidR="006C4998" w:rsidRPr="00A66252" w:rsidRDefault="002B680D"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206</w:t>
      </w:r>
      <w:r w:rsidRPr="00A66252">
        <w:rPr>
          <w:lang w:val="fr-FR"/>
        </w:rPr>
        <w:fldChar w:fldCharType="end"/>
      </w:r>
      <w:bookmarkEnd w:id="47"/>
      <w:r w:rsidRPr="00A66252">
        <w:rPr>
          <w:lang w:val="fr-FR"/>
        </w:rPr>
        <w:t>.  </w:t>
      </w:r>
      <w:r w:rsidR="006C4998" w:rsidRPr="00A66252">
        <w:rPr>
          <w:lang w:val="fr-FR"/>
        </w:rPr>
        <w:t>Il s</w:t>
      </w:r>
      <w:r w:rsidR="00A66252" w:rsidRPr="00A66252">
        <w:rPr>
          <w:lang w:val="fr-FR"/>
        </w:rPr>
        <w:t>’</w:t>
      </w:r>
      <w:r w:rsidR="006C4998" w:rsidRPr="00A66252">
        <w:rPr>
          <w:lang w:val="fr-FR"/>
        </w:rPr>
        <w:t xml:space="preserve">ensuit que, si le requérant </w:t>
      </w:r>
      <w:r w:rsidR="006D3862" w:rsidRPr="00A66252">
        <w:rPr>
          <w:lang w:val="fr-FR"/>
        </w:rPr>
        <w:t xml:space="preserve">avait </w:t>
      </w:r>
      <w:r w:rsidR="00CC7DE1" w:rsidRPr="00A66252">
        <w:rPr>
          <w:lang w:val="fr-FR"/>
        </w:rPr>
        <w:t>été éloigné</w:t>
      </w:r>
      <w:r w:rsidR="006C4998" w:rsidRPr="00A66252">
        <w:rPr>
          <w:lang w:val="fr-FR"/>
        </w:rPr>
        <w:t xml:space="preserve"> vers la Géorgie sans évaluation </w:t>
      </w:r>
      <w:r w:rsidR="00E74D31" w:rsidRPr="00A66252">
        <w:rPr>
          <w:lang w:val="fr-FR"/>
        </w:rPr>
        <w:t xml:space="preserve">de ces </w:t>
      </w:r>
      <w:r w:rsidR="006C4998" w:rsidRPr="00A66252">
        <w:rPr>
          <w:lang w:val="fr-FR"/>
        </w:rPr>
        <w:t xml:space="preserve">données, il y aurait </w:t>
      </w:r>
      <w:r w:rsidR="006D3862" w:rsidRPr="00A66252">
        <w:rPr>
          <w:lang w:val="fr-FR"/>
        </w:rPr>
        <w:t xml:space="preserve">eu </w:t>
      </w:r>
      <w:r w:rsidR="006C4998" w:rsidRPr="00A66252">
        <w:rPr>
          <w:lang w:val="fr-FR"/>
        </w:rPr>
        <w:t>violation de l</w:t>
      </w:r>
      <w:r w:rsidR="00A66252" w:rsidRPr="00A66252">
        <w:rPr>
          <w:lang w:val="fr-FR"/>
        </w:rPr>
        <w:t>’</w:t>
      </w:r>
      <w:r w:rsidR="006C4998" w:rsidRPr="00A66252">
        <w:rPr>
          <w:lang w:val="fr-FR"/>
        </w:rPr>
        <w:t>article 3</w:t>
      </w:r>
      <w:r w:rsidR="00396C5F" w:rsidRPr="00A66252">
        <w:rPr>
          <w:lang w:val="fr-FR"/>
        </w:rPr>
        <w:t>.</w:t>
      </w:r>
    </w:p>
    <w:p w:rsidR="00EE05A3" w:rsidRPr="00A66252" w:rsidRDefault="00892B57" w:rsidP="00A66252">
      <w:pPr>
        <w:pStyle w:val="ECHRPara"/>
        <w:rPr>
          <w:rFonts w:asciiTheme="majorHAnsi" w:eastAsiaTheme="majorEastAsia" w:hAnsiTheme="majorHAnsi" w:cstheme="majorBidi"/>
          <w:bCs/>
          <w:szCs w:val="28"/>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207</w:t>
      </w:r>
      <w:r w:rsidRPr="00A66252">
        <w:rPr>
          <w:lang w:val="fr-FR"/>
        </w:rPr>
        <w:fldChar w:fldCharType="end"/>
      </w:r>
      <w:r w:rsidRPr="00A66252">
        <w:rPr>
          <w:lang w:val="fr-FR"/>
        </w:rPr>
        <w:t>.  </w:t>
      </w:r>
      <w:r w:rsidR="001F2860" w:rsidRPr="00A66252">
        <w:rPr>
          <w:lang w:val="fr-FR"/>
        </w:rPr>
        <w:t xml:space="preserve">Eu égard à cette conclusion, la Cour estime </w:t>
      </w:r>
      <w:r w:rsidR="00624C3C" w:rsidRPr="00A66252">
        <w:rPr>
          <w:lang w:val="fr-FR"/>
        </w:rPr>
        <w:t>qu</w:t>
      </w:r>
      <w:r w:rsidR="00A66252" w:rsidRPr="00A66252">
        <w:rPr>
          <w:lang w:val="fr-FR"/>
        </w:rPr>
        <w:t>’</w:t>
      </w:r>
      <w:r w:rsidR="00624C3C" w:rsidRPr="00A66252">
        <w:rPr>
          <w:lang w:val="fr-FR"/>
        </w:rPr>
        <w:t>il n</w:t>
      </w:r>
      <w:r w:rsidR="00A66252" w:rsidRPr="00A66252">
        <w:rPr>
          <w:lang w:val="fr-FR"/>
        </w:rPr>
        <w:t>’</w:t>
      </w:r>
      <w:r w:rsidR="00624C3C" w:rsidRPr="00A66252">
        <w:rPr>
          <w:lang w:val="fr-FR"/>
        </w:rPr>
        <w:t xml:space="preserve">y a </w:t>
      </w:r>
      <w:r w:rsidR="001F2860" w:rsidRPr="00A66252">
        <w:rPr>
          <w:lang w:val="fr-FR"/>
        </w:rPr>
        <w:t xml:space="preserve">pas </w:t>
      </w:r>
      <w:r w:rsidR="00624C3C" w:rsidRPr="00A66252">
        <w:rPr>
          <w:lang w:val="fr-FR"/>
        </w:rPr>
        <w:t>lieu</w:t>
      </w:r>
      <w:r w:rsidR="002677C0" w:rsidRPr="00A66252">
        <w:rPr>
          <w:lang w:val="fr-FR"/>
        </w:rPr>
        <w:t xml:space="preserve"> </w:t>
      </w:r>
      <w:r w:rsidR="001F2860" w:rsidRPr="00A66252">
        <w:rPr>
          <w:lang w:val="fr-FR"/>
        </w:rPr>
        <w:t>d</w:t>
      </w:r>
      <w:r w:rsidR="00A66252" w:rsidRPr="00A66252">
        <w:rPr>
          <w:lang w:val="fr-FR"/>
        </w:rPr>
        <w:t>’</w:t>
      </w:r>
      <w:r w:rsidR="001F2860" w:rsidRPr="00A66252">
        <w:rPr>
          <w:lang w:val="fr-FR"/>
        </w:rPr>
        <w:t>examiner le grief tiré de l</w:t>
      </w:r>
      <w:r w:rsidR="00A66252" w:rsidRPr="00A66252">
        <w:rPr>
          <w:lang w:val="fr-FR"/>
        </w:rPr>
        <w:t>’</w:t>
      </w:r>
      <w:r w:rsidR="001F2860" w:rsidRPr="00A66252">
        <w:rPr>
          <w:lang w:val="fr-FR"/>
        </w:rPr>
        <w:t>article 2 de la Convention</w:t>
      </w:r>
      <w:r w:rsidRPr="00A66252">
        <w:rPr>
          <w:lang w:val="fr-FR"/>
        </w:rPr>
        <w:t>.</w:t>
      </w:r>
    </w:p>
    <w:p w:rsidR="00E77CB3" w:rsidRPr="00A66252" w:rsidRDefault="00E77CB3" w:rsidP="00A66252">
      <w:pPr>
        <w:pStyle w:val="ECHRHeading1"/>
        <w:rPr>
          <w:lang w:val="fr-FR"/>
        </w:rPr>
      </w:pPr>
      <w:r w:rsidRPr="00A66252">
        <w:rPr>
          <w:lang w:val="fr-FR"/>
        </w:rPr>
        <w:t>I</w:t>
      </w:r>
      <w:r w:rsidR="00F76A4A" w:rsidRPr="00A66252">
        <w:rPr>
          <w:lang w:val="fr-FR"/>
        </w:rPr>
        <w:t>I</w:t>
      </w:r>
      <w:r w:rsidR="001F2860" w:rsidRPr="00A66252">
        <w:rPr>
          <w:lang w:val="fr-FR"/>
        </w:rPr>
        <w:t>I</w:t>
      </w:r>
      <w:r w:rsidRPr="00A66252">
        <w:rPr>
          <w:lang w:val="fr-FR"/>
        </w:rPr>
        <w:t>.  SUR LA VIOLATION ALLÉGUÉE DE L</w:t>
      </w:r>
      <w:r w:rsidR="00A66252" w:rsidRPr="00A66252">
        <w:rPr>
          <w:lang w:val="fr-FR"/>
        </w:rPr>
        <w:t>’</w:t>
      </w:r>
      <w:r w:rsidRPr="00A66252">
        <w:rPr>
          <w:lang w:val="fr-FR"/>
        </w:rPr>
        <w:t xml:space="preserve">ARTICLE </w:t>
      </w:r>
      <w:r w:rsidR="00B51D71" w:rsidRPr="00A66252">
        <w:rPr>
          <w:lang w:val="fr-FR"/>
        </w:rPr>
        <w:t>8</w:t>
      </w:r>
      <w:r w:rsidRPr="00A66252">
        <w:rPr>
          <w:lang w:val="fr-FR"/>
        </w:rPr>
        <w:t xml:space="preserve"> DE LA CONVENTION</w:t>
      </w:r>
    </w:p>
    <w:p w:rsidR="00433276"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208</w:t>
      </w:r>
      <w:r w:rsidRPr="00A66252">
        <w:rPr>
          <w:lang w:val="fr-FR"/>
        </w:rPr>
        <w:fldChar w:fldCharType="end"/>
      </w:r>
      <w:r w:rsidRPr="00A66252">
        <w:rPr>
          <w:lang w:val="fr-FR"/>
        </w:rPr>
        <w:t>.  </w:t>
      </w:r>
      <w:r w:rsidR="00433276" w:rsidRPr="00A66252">
        <w:rPr>
          <w:lang w:val="fr-FR"/>
        </w:rPr>
        <w:t>Le requérant se plai</w:t>
      </w:r>
      <w:r w:rsidR="006D3862" w:rsidRPr="00A66252">
        <w:rPr>
          <w:lang w:val="fr-FR"/>
        </w:rPr>
        <w:t>gnai</w:t>
      </w:r>
      <w:r w:rsidR="00433276" w:rsidRPr="00A66252">
        <w:rPr>
          <w:lang w:val="fr-FR"/>
        </w:rPr>
        <w:t>t que son renvoi vers la Géorgie avec interdiction d</w:t>
      </w:r>
      <w:r w:rsidR="00A66252" w:rsidRPr="00A66252">
        <w:rPr>
          <w:lang w:val="fr-FR"/>
        </w:rPr>
        <w:t>’</w:t>
      </w:r>
      <w:r w:rsidR="00433276" w:rsidRPr="00A66252">
        <w:rPr>
          <w:lang w:val="fr-FR"/>
        </w:rPr>
        <w:t xml:space="preserve">entrée en Belgique pendant dix ans </w:t>
      </w:r>
      <w:r w:rsidR="006D3862" w:rsidRPr="00A66252">
        <w:rPr>
          <w:lang w:val="fr-FR"/>
        </w:rPr>
        <w:t xml:space="preserve">aurait entraîné </w:t>
      </w:r>
      <w:r w:rsidR="00433276" w:rsidRPr="00A66252">
        <w:rPr>
          <w:lang w:val="fr-FR"/>
        </w:rPr>
        <w:t xml:space="preserve">une </w:t>
      </w:r>
      <w:r w:rsidR="00433276" w:rsidRPr="00A66252">
        <w:rPr>
          <w:lang w:val="fr-FR"/>
        </w:rPr>
        <w:lastRenderedPageBreak/>
        <w:t xml:space="preserve">séparation de sa famille, </w:t>
      </w:r>
      <w:r w:rsidR="00E74D31" w:rsidRPr="00A66252">
        <w:rPr>
          <w:lang w:val="fr-FR"/>
        </w:rPr>
        <w:t xml:space="preserve">qui </w:t>
      </w:r>
      <w:r w:rsidR="006D3862" w:rsidRPr="00A66252">
        <w:rPr>
          <w:lang w:val="fr-FR"/>
        </w:rPr>
        <w:t xml:space="preserve">était </w:t>
      </w:r>
      <w:r w:rsidR="00433276" w:rsidRPr="00A66252">
        <w:rPr>
          <w:lang w:val="fr-FR"/>
        </w:rPr>
        <w:t>autorisée à séjourner en Belgique et représent</w:t>
      </w:r>
      <w:r w:rsidR="006D3862" w:rsidRPr="00A66252">
        <w:rPr>
          <w:lang w:val="fr-FR"/>
        </w:rPr>
        <w:t>ait</w:t>
      </w:r>
      <w:r w:rsidR="00433276" w:rsidRPr="00A66252">
        <w:rPr>
          <w:lang w:val="fr-FR"/>
        </w:rPr>
        <w:t xml:space="preserve"> son seul soutien moral. Il invoqu</w:t>
      </w:r>
      <w:r w:rsidR="006D3862" w:rsidRPr="00A66252">
        <w:rPr>
          <w:lang w:val="fr-FR"/>
        </w:rPr>
        <w:t>ait</w:t>
      </w:r>
      <w:r w:rsidR="00433276" w:rsidRPr="00A66252">
        <w:rPr>
          <w:lang w:val="fr-FR"/>
        </w:rPr>
        <w:t xml:space="preserve"> une violation de l</w:t>
      </w:r>
      <w:r w:rsidR="00A66252" w:rsidRPr="00A66252">
        <w:rPr>
          <w:lang w:val="fr-FR"/>
        </w:rPr>
        <w:t>’</w:t>
      </w:r>
      <w:r w:rsidR="00433276" w:rsidRPr="00A66252">
        <w:rPr>
          <w:lang w:val="fr-FR"/>
        </w:rPr>
        <w:t>article 8 de la Convention qui se lit comme suit :</w:t>
      </w:r>
    </w:p>
    <w:p w:rsidR="00433276" w:rsidRPr="00A66252" w:rsidRDefault="00433276" w:rsidP="00A66252">
      <w:pPr>
        <w:pStyle w:val="ECHRParaQuote"/>
        <w:rPr>
          <w:lang w:val="fr-FR"/>
        </w:rPr>
      </w:pPr>
      <w:r w:rsidRPr="00A66252">
        <w:rPr>
          <w:lang w:val="fr-FR"/>
        </w:rPr>
        <w:t>« 1.  Toute personne a droit au respect de sa vie privée et familiale, de son domicile et de sa correspondance.</w:t>
      </w:r>
    </w:p>
    <w:p w:rsidR="00433276" w:rsidRPr="00A66252" w:rsidRDefault="00433276" w:rsidP="00A66252">
      <w:pPr>
        <w:pStyle w:val="ECHRParaQuote"/>
        <w:rPr>
          <w:lang w:val="fr-FR"/>
        </w:rPr>
      </w:pPr>
      <w:r w:rsidRPr="00A66252">
        <w:rPr>
          <w:lang w:val="fr-FR"/>
        </w:rPr>
        <w:t>2.  Il ne peut y avoir ingérence d</w:t>
      </w:r>
      <w:r w:rsidR="00A66252" w:rsidRPr="00A66252">
        <w:rPr>
          <w:lang w:val="fr-FR"/>
        </w:rPr>
        <w:t>’</w:t>
      </w:r>
      <w:r w:rsidRPr="00A66252">
        <w:rPr>
          <w:lang w:val="fr-FR"/>
        </w:rPr>
        <w:t>une autorité publique dans l</w:t>
      </w:r>
      <w:r w:rsidR="00A66252" w:rsidRPr="00A66252">
        <w:rPr>
          <w:lang w:val="fr-FR"/>
        </w:rPr>
        <w:t>’</w:t>
      </w:r>
      <w:r w:rsidRPr="00A66252">
        <w:rPr>
          <w:lang w:val="fr-FR"/>
        </w:rPr>
        <w:t>exercice de ce droit que pour autant que cette ingérence est prévue par la loi et qu</w:t>
      </w:r>
      <w:r w:rsidR="00A66252" w:rsidRPr="00A66252">
        <w:rPr>
          <w:lang w:val="fr-FR"/>
        </w:rPr>
        <w:t>’</w:t>
      </w:r>
      <w:r w:rsidRPr="00A66252">
        <w:rPr>
          <w:lang w:val="fr-FR"/>
        </w:rPr>
        <w:t>elle constitue une mesure qui, dans une société démocratique, est nécessaire à la sécurité nationale, à la sûreté publique, au bien</w:t>
      </w:r>
      <w:r w:rsidRPr="00A66252">
        <w:rPr>
          <w:lang w:val="fr-FR"/>
        </w:rPr>
        <w:noBreakHyphen/>
        <w:t>être économique du pays, à la défense de l</w:t>
      </w:r>
      <w:r w:rsidR="00A66252" w:rsidRPr="00A66252">
        <w:rPr>
          <w:lang w:val="fr-FR"/>
        </w:rPr>
        <w:t>’</w:t>
      </w:r>
      <w:r w:rsidRPr="00A66252">
        <w:rPr>
          <w:lang w:val="fr-FR"/>
        </w:rPr>
        <w:t>ordre et à la prévention des infractions pénales, à la protection de la santé ou de la morale, ou à la protection des droits et libertés d</w:t>
      </w:r>
      <w:r w:rsidR="00A66252" w:rsidRPr="00A66252">
        <w:rPr>
          <w:lang w:val="fr-FR"/>
        </w:rPr>
        <w:t>’</w:t>
      </w:r>
      <w:r w:rsidRPr="00A66252">
        <w:rPr>
          <w:lang w:val="fr-FR"/>
        </w:rPr>
        <w:t>autrui. »</w:t>
      </w:r>
    </w:p>
    <w:p w:rsidR="00433276" w:rsidRPr="00A66252" w:rsidRDefault="00EE05A3" w:rsidP="00A66252">
      <w:pPr>
        <w:pStyle w:val="ECHRHeading2"/>
        <w:rPr>
          <w:lang w:val="fr-FR"/>
        </w:rPr>
      </w:pPr>
      <w:r w:rsidRPr="00A66252">
        <w:rPr>
          <w:lang w:val="fr-FR"/>
        </w:rPr>
        <w:t>A.  </w:t>
      </w:r>
      <w:r w:rsidR="00433276" w:rsidRPr="00A66252">
        <w:rPr>
          <w:lang w:val="fr-FR"/>
        </w:rPr>
        <w:t>L</w:t>
      </w:r>
      <w:r w:rsidR="00A66252" w:rsidRPr="00A66252">
        <w:rPr>
          <w:lang w:val="fr-FR"/>
        </w:rPr>
        <w:t>’</w:t>
      </w:r>
      <w:r w:rsidR="00433276" w:rsidRPr="00A66252">
        <w:rPr>
          <w:lang w:val="fr-FR"/>
        </w:rPr>
        <w:t>arrêt de chambre</w:t>
      </w:r>
    </w:p>
    <w:p w:rsidR="00A66252"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209</w:t>
      </w:r>
      <w:r w:rsidRPr="00A66252">
        <w:rPr>
          <w:lang w:val="fr-FR"/>
        </w:rPr>
        <w:fldChar w:fldCharType="end"/>
      </w:r>
      <w:r w:rsidRPr="00A66252">
        <w:rPr>
          <w:lang w:val="fr-FR"/>
        </w:rPr>
        <w:t>.  </w:t>
      </w:r>
      <w:r w:rsidR="00433276" w:rsidRPr="00A66252">
        <w:rPr>
          <w:lang w:val="fr-FR"/>
        </w:rPr>
        <w:t>Sur le terrain de l</w:t>
      </w:r>
      <w:r w:rsidR="00A66252" w:rsidRPr="00A66252">
        <w:rPr>
          <w:lang w:val="fr-FR"/>
        </w:rPr>
        <w:t>’</w:t>
      </w:r>
      <w:r w:rsidR="00433276" w:rsidRPr="00A66252">
        <w:rPr>
          <w:lang w:val="fr-FR"/>
        </w:rPr>
        <w:t>article 8 de la Convention,</w:t>
      </w:r>
      <w:r w:rsidR="00433276" w:rsidRPr="00A66252">
        <w:rPr>
          <w:b/>
          <w:lang w:val="fr-FR"/>
        </w:rPr>
        <w:t xml:space="preserve"> </w:t>
      </w:r>
      <w:r w:rsidR="00433276" w:rsidRPr="00A66252">
        <w:rPr>
          <w:lang w:val="fr-FR"/>
        </w:rPr>
        <w:t>envisagé sous l</w:t>
      </w:r>
      <w:r w:rsidR="00A66252" w:rsidRPr="00A66252">
        <w:rPr>
          <w:lang w:val="fr-FR"/>
        </w:rPr>
        <w:t>’</w:t>
      </w:r>
      <w:r w:rsidR="00433276" w:rsidRPr="00A66252">
        <w:rPr>
          <w:lang w:val="fr-FR"/>
        </w:rPr>
        <w:t>angle des obligations positives (§ 138</w:t>
      </w:r>
      <w:r w:rsidR="008B441B" w:rsidRPr="00A66252">
        <w:rPr>
          <w:lang w:val="fr-FR"/>
        </w:rPr>
        <w:t xml:space="preserve"> de l</w:t>
      </w:r>
      <w:r w:rsidR="00A66252" w:rsidRPr="00A66252">
        <w:rPr>
          <w:lang w:val="fr-FR"/>
        </w:rPr>
        <w:t>’</w:t>
      </w:r>
      <w:r w:rsidR="008B441B" w:rsidRPr="00A66252">
        <w:rPr>
          <w:lang w:val="fr-FR"/>
        </w:rPr>
        <w:t>arrêt de la chambre</w:t>
      </w:r>
      <w:r w:rsidR="00433276" w:rsidRPr="00A66252">
        <w:rPr>
          <w:lang w:val="fr-FR"/>
        </w:rPr>
        <w:t>), la chambre estima que les condamnations dont le requérant avait fait l</w:t>
      </w:r>
      <w:r w:rsidR="00A66252" w:rsidRPr="00A66252">
        <w:rPr>
          <w:lang w:val="fr-FR"/>
        </w:rPr>
        <w:t>’</w:t>
      </w:r>
      <w:r w:rsidR="00433276" w:rsidRPr="00A66252">
        <w:rPr>
          <w:lang w:val="fr-FR"/>
        </w:rPr>
        <w:t>objet pesaient lourd tant du point de vue de leur gravité, de leur nombre que de la nature de la dernière peine infligée (</w:t>
      </w:r>
      <w:r w:rsidR="008B441B" w:rsidRPr="00A66252">
        <w:rPr>
          <w:i/>
          <w:lang w:val="fr-FR"/>
        </w:rPr>
        <w:t>ibidem</w:t>
      </w:r>
      <w:r w:rsidR="008B441B" w:rsidRPr="00A66252">
        <w:rPr>
          <w:lang w:val="fr-FR"/>
        </w:rPr>
        <w:t xml:space="preserve">, </w:t>
      </w:r>
      <w:r w:rsidR="00433276" w:rsidRPr="00A66252">
        <w:rPr>
          <w:lang w:val="fr-FR"/>
        </w:rPr>
        <w:t>§§ 145-147).</w:t>
      </w:r>
    </w:p>
    <w:p w:rsidR="00A66252"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210</w:t>
      </w:r>
      <w:r w:rsidRPr="00A66252">
        <w:rPr>
          <w:lang w:val="fr-FR"/>
        </w:rPr>
        <w:fldChar w:fldCharType="end"/>
      </w:r>
      <w:r w:rsidRPr="00A66252">
        <w:rPr>
          <w:lang w:val="fr-FR"/>
        </w:rPr>
        <w:t>.  </w:t>
      </w:r>
      <w:r w:rsidR="00433276" w:rsidRPr="00A66252">
        <w:rPr>
          <w:lang w:val="fr-FR"/>
        </w:rPr>
        <w:t>Elle releva également qu</w:t>
      </w:r>
      <w:r w:rsidR="00A66252" w:rsidRPr="00A66252">
        <w:rPr>
          <w:lang w:val="fr-FR"/>
        </w:rPr>
        <w:t>’</w:t>
      </w:r>
      <w:r w:rsidR="00433276" w:rsidRPr="00A66252">
        <w:rPr>
          <w:lang w:val="fr-FR"/>
        </w:rPr>
        <w:t>à aucun moment, durant ses quinze années de séjour en Belgique, le requérant n</w:t>
      </w:r>
      <w:r w:rsidR="00A66252" w:rsidRPr="00A66252">
        <w:rPr>
          <w:lang w:val="fr-FR"/>
        </w:rPr>
        <w:t>’</w:t>
      </w:r>
      <w:r w:rsidR="00433276" w:rsidRPr="00A66252">
        <w:rPr>
          <w:lang w:val="fr-FR"/>
        </w:rPr>
        <w:t>avait bénéficié d</w:t>
      </w:r>
      <w:r w:rsidR="00A66252" w:rsidRPr="00A66252">
        <w:rPr>
          <w:lang w:val="fr-FR"/>
        </w:rPr>
        <w:t>’</w:t>
      </w:r>
      <w:r w:rsidR="00433276" w:rsidRPr="00A66252">
        <w:rPr>
          <w:lang w:val="fr-FR"/>
        </w:rPr>
        <w:t>un titre de séjour régulier et que, malgré les condamnations répétées, les autorités belges s</w:t>
      </w:r>
      <w:r w:rsidR="00A66252" w:rsidRPr="00A66252">
        <w:rPr>
          <w:lang w:val="fr-FR"/>
        </w:rPr>
        <w:t>’</w:t>
      </w:r>
      <w:r w:rsidR="00433276" w:rsidRPr="00A66252">
        <w:rPr>
          <w:lang w:val="fr-FR"/>
        </w:rPr>
        <w:t>étaient montrées d</w:t>
      </w:r>
      <w:r w:rsidR="00A66252" w:rsidRPr="00A66252">
        <w:rPr>
          <w:lang w:val="fr-FR"/>
        </w:rPr>
        <w:t>’</w:t>
      </w:r>
      <w:r w:rsidR="00433276" w:rsidRPr="00A66252">
        <w:rPr>
          <w:lang w:val="fr-FR"/>
        </w:rPr>
        <w:t>une remarquable tolérance (</w:t>
      </w:r>
      <w:r w:rsidR="008B441B" w:rsidRPr="00A66252">
        <w:rPr>
          <w:i/>
          <w:lang w:val="fr-FR"/>
        </w:rPr>
        <w:t>ibidem</w:t>
      </w:r>
      <w:r w:rsidR="008B441B" w:rsidRPr="00A66252">
        <w:rPr>
          <w:lang w:val="fr-FR"/>
        </w:rPr>
        <w:t xml:space="preserve">, </w:t>
      </w:r>
      <w:r w:rsidR="00433276" w:rsidRPr="00A66252">
        <w:rPr>
          <w:lang w:val="fr-FR"/>
        </w:rPr>
        <w:t>§§</w:t>
      </w:r>
      <w:r w:rsidR="008B441B" w:rsidRPr="00A66252">
        <w:rPr>
          <w:lang w:val="fr-FR"/>
        </w:rPr>
        <w:t> </w:t>
      </w:r>
      <w:r w:rsidR="00433276" w:rsidRPr="00A66252">
        <w:rPr>
          <w:lang w:val="fr-FR"/>
        </w:rPr>
        <w:t>149</w:t>
      </w:r>
      <w:r w:rsidR="008B441B" w:rsidRPr="00A66252">
        <w:rPr>
          <w:lang w:val="fr-FR"/>
        </w:rPr>
        <w:noBreakHyphen/>
      </w:r>
      <w:r w:rsidR="00433276" w:rsidRPr="00A66252">
        <w:rPr>
          <w:lang w:val="fr-FR"/>
        </w:rPr>
        <w:t>150). Elle prit en outre en compte le fait que les membres de la famille avaient la nationalité géorgienne et que, disposant d</w:t>
      </w:r>
      <w:r w:rsidR="00A66252" w:rsidRPr="00A66252">
        <w:rPr>
          <w:lang w:val="fr-FR"/>
        </w:rPr>
        <w:t>’</w:t>
      </w:r>
      <w:r w:rsidR="00433276" w:rsidRPr="00A66252">
        <w:rPr>
          <w:lang w:val="fr-FR"/>
        </w:rPr>
        <w:t>un titre de séjour en Belgique, l</w:t>
      </w:r>
      <w:r w:rsidR="00A66252" w:rsidRPr="00A66252">
        <w:rPr>
          <w:lang w:val="fr-FR"/>
        </w:rPr>
        <w:t>’</w:t>
      </w:r>
      <w:r w:rsidR="00433276" w:rsidRPr="00A66252">
        <w:rPr>
          <w:lang w:val="fr-FR"/>
        </w:rPr>
        <w:t>épouse et les enfants pouvaient quitter le pays et y revenir en toute régularité (</w:t>
      </w:r>
      <w:r w:rsidR="008B441B" w:rsidRPr="00A66252">
        <w:rPr>
          <w:i/>
          <w:lang w:val="fr-FR"/>
        </w:rPr>
        <w:t>ibidem</w:t>
      </w:r>
      <w:r w:rsidR="008B441B" w:rsidRPr="00A66252">
        <w:rPr>
          <w:lang w:val="fr-FR"/>
        </w:rPr>
        <w:t xml:space="preserve">, </w:t>
      </w:r>
      <w:r w:rsidR="00433276" w:rsidRPr="00A66252">
        <w:rPr>
          <w:lang w:val="fr-FR"/>
        </w:rPr>
        <w:t>§§ 151-153).</w:t>
      </w:r>
    </w:p>
    <w:p w:rsidR="00433276"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211</w:t>
      </w:r>
      <w:r w:rsidRPr="00A66252">
        <w:rPr>
          <w:lang w:val="fr-FR"/>
        </w:rPr>
        <w:fldChar w:fldCharType="end"/>
      </w:r>
      <w:r w:rsidRPr="00A66252">
        <w:rPr>
          <w:lang w:val="fr-FR"/>
        </w:rPr>
        <w:t>.  </w:t>
      </w:r>
      <w:r w:rsidR="00433276" w:rsidRPr="00A66252">
        <w:rPr>
          <w:lang w:val="fr-FR"/>
        </w:rPr>
        <w:t>Envisageant enfin le volet médical de l</w:t>
      </w:r>
      <w:r w:rsidR="00A66252" w:rsidRPr="00A66252">
        <w:rPr>
          <w:lang w:val="fr-FR"/>
        </w:rPr>
        <w:t>’</w:t>
      </w:r>
      <w:r w:rsidR="00433276" w:rsidRPr="00A66252">
        <w:rPr>
          <w:lang w:val="fr-FR"/>
        </w:rPr>
        <w:t>affaire et le fait que la famille pourrait prendre la décision de quitter temporairement la Belgique pour se rendre en Géorgie, la chambre souligna qu</w:t>
      </w:r>
      <w:r w:rsidR="00A66252" w:rsidRPr="00A66252">
        <w:rPr>
          <w:lang w:val="fr-FR"/>
        </w:rPr>
        <w:t>’</w:t>
      </w:r>
      <w:r w:rsidR="00433276" w:rsidRPr="00A66252">
        <w:rPr>
          <w:lang w:val="fr-FR"/>
        </w:rPr>
        <w:t>elle n</w:t>
      </w:r>
      <w:r w:rsidR="00A66252" w:rsidRPr="00A66252">
        <w:rPr>
          <w:lang w:val="fr-FR"/>
        </w:rPr>
        <w:t>’</w:t>
      </w:r>
      <w:r w:rsidR="00433276" w:rsidRPr="00A66252">
        <w:rPr>
          <w:lang w:val="fr-FR"/>
        </w:rPr>
        <w:t xml:space="preserve">y voyait aucune circonstance exceptionnelle qui obligerait les autorités belges à renoncer au renvoi du requérant ou </w:t>
      </w:r>
      <w:r w:rsidR="00B97583" w:rsidRPr="00A66252">
        <w:rPr>
          <w:lang w:val="fr-FR"/>
        </w:rPr>
        <w:t>à autoriser son séjour (</w:t>
      </w:r>
      <w:r w:rsidR="008B441B" w:rsidRPr="00A66252">
        <w:rPr>
          <w:i/>
          <w:lang w:val="fr-FR"/>
        </w:rPr>
        <w:t>ibidem</w:t>
      </w:r>
      <w:r w:rsidR="008B441B" w:rsidRPr="00A66252">
        <w:rPr>
          <w:lang w:val="fr-FR"/>
        </w:rPr>
        <w:t xml:space="preserve">, </w:t>
      </w:r>
      <w:r w:rsidR="00B97583" w:rsidRPr="00A66252">
        <w:rPr>
          <w:lang w:val="fr-FR"/>
        </w:rPr>
        <w:t>§ 154).</w:t>
      </w:r>
    </w:p>
    <w:p w:rsidR="00433276" w:rsidRPr="00A66252" w:rsidRDefault="003D09B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212</w:t>
      </w:r>
      <w:r w:rsidRPr="00A66252">
        <w:rPr>
          <w:lang w:val="fr-FR"/>
        </w:rPr>
        <w:fldChar w:fldCharType="end"/>
      </w:r>
      <w:r w:rsidRPr="00A66252">
        <w:rPr>
          <w:lang w:val="fr-FR"/>
        </w:rPr>
        <w:t>.  </w:t>
      </w:r>
      <w:r w:rsidR="00433276" w:rsidRPr="00A66252">
        <w:rPr>
          <w:lang w:val="fr-FR"/>
        </w:rPr>
        <w:t>Pour ces motifs, elle conclut qu</w:t>
      </w:r>
      <w:r w:rsidR="00A66252" w:rsidRPr="00A66252">
        <w:rPr>
          <w:lang w:val="fr-FR"/>
        </w:rPr>
        <w:t>’</w:t>
      </w:r>
      <w:r w:rsidR="00433276" w:rsidRPr="00A66252">
        <w:rPr>
          <w:lang w:val="fr-FR"/>
        </w:rPr>
        <w:t>il n</w:t>
      </w:r>
      <w:r w:rsidR="00A66252" w:rsidRPr="00A66252">
        <w:rPr>
          <w:lang w:val="fr-FR"/>
        </w:rPr>
        <w:t>’</w:t>
      </w:r>
      <w:r w:rsidR="00433276" w:rsidRPr="00A66252">
        <w:rPr>
          <w:lang w:val="fr-FR"/>
        </w:rPr>
        <w:t>y a pas eu violation de l</w:t>
      </w:r>
      <w:r w:rsidR="00A66252" w:rsidRPr="00A66252">
        <w:rPr>
          <w:lang w:val="fr-FR"/>
        </w:rPr>
        <w:t>’</w:t>
      </w:r>
      <w:r w:rsidR="00433276" w:rsidRPr="00A66252">
        <w:rPr>
          <w:lang w:val="fr-FR"/>
        </w:rPr>
        <w:t>article 8 de la Convention (</w:t>
      </w:r>
      <w:r w:rsidR="008B441B" w:rsidRPr="00A66252">
        <w:rPr>
          <w:i/>
          <w:lang w:val="fr-FR"/>
        </w:rPr>
        <w:t>ibidem</w:t>
      </w:r>
      <w:r w:rsidR="008B441B" w:rsidRPr="00A66252">
        <w:rPr>
          <w:lang w:val="fr-FR"/>
        </w:rPr>
        <w:t xml:space="preserve">, </w:t>
      </w:r>
      <w:r w:rsidR="00433276" w:rsidRPr="00A66252">
        <w:rPr>
          <w:lang w:val="fr-FR"/>
        </w:rPr>
        <w:t>§ 156).</w:t>
      </w:r>
    </w:p>
    <w:p w:rsidR="00433276" w:rsidRPr="00A66252" w:rsidRDefault="00EE05A3" w:rsidP="00A66252">
      <w:pPr>
        <w:pStyle w:val="ECHRHeading2"/>
        <w:rPr>
          <w:lang w:val="fr-FR"/>
        </w:rPr>
      </w:pPr>
      <w:r w:rsidRPr="00A66252">
        <w:rPr>
          <w:lang w:val="fr-FR"/>
        </w:rPr>
        <w:t>B.  </w:t>
      </w:r>
      <w:r w:rsidR="00433276" w:rsidRPr="00A66252">
        <w:rPr>
          <w:lang w:val="fr-FR"/>
        </w:rPr>
        <w:t>Les observations des parties devant la Grande Chambre</w:t>
      </w:r>
    </w:p>
    <w:p w:rsidR="00433276" w:rsidRPr="00A66252" w:rsidRDefault="00433276" w:rsidP="00A66252">
      <w:pPr>
        <w:pStyle w:val="ECHRHeading3"/>
        <w:rPr>
          <w:lang w:val="fr-FR"/>
        </w:rPr>
      </w:pPr>
      <w:r w:rsidRPr="00A66252">
        <w:rPr>
          <w:lang w:val="fr-FR"/>
        </w:rPr>
        <w:t>1.  L</w:t>
      </w:r>
      <w:r w:rsidR="00E47236" w:rsidRPr="00A66252">
        <w:rPr>
          <w:lang w:val="fr-FR"/>
        </w:rPr>
        <w:t>e requérant</w:t>
      </w:r>
    </w:p>
    <w:p w:rsidR="00433276" w:rsidRPr="00A66252" w:rsidRDefault="00317797" w:rsidP="00A66252">
      <w:pPr>
        <w:pStyle w:val="ECHRPara"/>
        <w:rPr>
          <w:rFonts w:eastAsia="Times New Roman"/>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213</w:t>
      </w:r>
      <w:r w:rsidRPr="00A66252">
        <w:rPr>
          <w:lang w:val="fr-FR"/>
        </w:rPr>
        <w:fldChar w:fldCharType="end"/>
      </w:r>
      <w:r w:rsidRPr="00A66252">
        <w:rPr>
          <w:lang w:val="fr-FR"/>
        </w:rPr>
        <w:t>.  </w:t>
      </w:r>
      <w:r w:rsidR="00433276" w:rsidRPr="00A66252">
        <w:rPr>
          <w:lang w:val="fr-FR"/>
        </w:rPr>
        <w:t xml:space="preserve">Le requérant </w:t>
      </w:r>
      <w:r w:rsidR="006D3862" w:rsidRPr="00A66252">
        <w:rPr>
          <w:lang w:val="fr-FR"/>
        </w:rPr>
        <w:t xml:space="preserve">soutenait </w:t>
      </w:r>
      <w:r w:rsidR="00433276" w:rsidRPr="00A66252">
        <w:rPr>
          <w:lang w:val="fr-FR"/>
        </w:rPr>
        <w:t>que le refus opposé par les autorités belges de régulariser son séjour pour motifs humanitaires ou d</w:t>
      </w:r>
      <w:r w:rsidR="00A66252" w:rsidRPr="00A66252">
        <w:rPr>
          <w:lang w:val="fr-FR"/>
        </w:rPr>
        <w:t>’</w:t>
      </w:r>
      <w:r w:rsidR="00433276" w:rsidRPr="00A66252">
        <w:rPr>
          <w:lang w:val="fr-FR"/>
        </w:rPr>
        <w:t>examiner sa demande de régularisation pour raisons médicales constitu</w:t>
      </w:r>
      <w:r w:rsidR="006D3862" w:rsidRPr="00A66252">
        <w:rPr>
          <w:lang w:val="fr-FR"/>
        </w:rPr>
        <w:t>ait</w:t>
      </w:r>
      <w:r w:rsidR="00433276" w:rsidRPr="00A66252">
        <w:rPr>
          <w:lang w:val="fr-FR"/>
        </w:rPr>
        <w:t xml:space="preserve"> une ingérence dans sa vie privée et familiale contraire à l</w:t>
      </w:r>
      <w:r w:rsidR="00A66252" w:rsidRPr="00A66252">
        <w:rPr>
          <w:lang w:val="fr-FR"/>
        </w:rPr>
        <w:t>’</w:t>
      </w:r>
      <w:r w:rsidR="00B97583" w:rsidRPr="00A66252">
        <w:rPr>
          <w:lang w:val="fr-FR"/>
        </w:rPr>
        <w:t>article 8.</w:t>
      </w:r>
    </w:p>
    <w:p w:rsidR="00433276"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214</w:t>
      </w:r>
      <w:r w:rsidRPr="00A66252">
        <w:rPr>
          <w:lang w:val="fr-FR"/>
        </w:rPr>
        <w:fldChar w:fldCharType="end"/>
      </w:r>
      <w:r w:rsidRPr="00A66252">
        <w:rPr>
          <w:lang w:val="fr-FR"/>
        </w:rPr>
        <w:t>.  </w:t>
      </w:r>
      <w:r w:rsidR="00433276" w:rsidRPr="00A66252">
        <w:rPr>
          <w:lang w:val="fr-FR"/>
        </w:rPr>
        <w:t xml:space="preserve">Il </w:t>
      </w:r>
      <w:r w:rsidR="006D3862" w:rsidRPr="00A66252">
        <w:rPr>
          <w:lang w:val="fr-FR"/>
        </w:rPr>
        <w:t xml:space="preserve">faisait </w:t>
      </w:r>
      <w:r w:rsidR="00433276" w:rsidRPr="00A66252">
        <w:rPr>
          <w:lang w:val="fr-FR"/>
        </w:rPr>
        <w:t>valoir qu</w:t>
      </w:r>
      <w:r w:rsidR="00A66252" w:rsidRPr="00A66252">
        <w:rPr>
          <w:lang w:val="fr-FR"/>
        </w:rPr>
        <w:t>’</w:t>
      </w:r>
      <w:r w:rsidR="00433276" w:rsidRPr="00A66252">
        <w:rPr>
          <w:lang w:val="fr-FR"/>
        </w:rPr>
        <w:t xml:space="preserve">il incombait aux autorités belges de procéder à une appréciation équilibrée et raisonnable de tous les intérêts en jeu. Elles </w:t>
      </w:r>
      <w:r w:rsidR="00433276" w:rsidRPr="00A66252">
        <w:rPr>
          <w:lang w:val="fr-FR"/>
        </w:rPr>
        <w:lastRenderedPageBreak/>
        <w:t>auraient dû appliquer la réglementation en tenant compte de l</w:t>
      </w:r>
      <w:r w:rsidR="00A66252" w:rsidRPr="00A66252">
        <w:rPr>
          <w:lang w:val="fr-FR"/>
        </w:rPr>
        <w:t>’</w:t>
      </w:r>
      <w:r w:rsidR="00433276" w:rsidRPr="00A66252">
        <w:rPr>
          <w:lang w:val="fr-FR"/>
        </w:rPr>
        <w:t>intérêt supérieur des enfants et de l</w:t>
      </w:r>
      <w:r w:rsidR="00A66252" w:rsidRPr="00A66252">
        <w:rPr>
          <w:lang w:val="fr-FR"/>
        </w:rPr>
        <w:t>’</w:t>
      </w:r>
      <w:r w:rsidR="00433276" w:rsidRPr="00A66252">
        <w:rPr>
          <w:lang w:val="fr-FR"/>
        </w:rPr>
        <w:t>exigence d</w:t>
      </w:r>
      <w:r w:rsidR="00A66252" w:rsidRPr="00A66252">
        <w:rPr>
          <w:lang w:val="fr-FR"/>
        </w:rPr>
        <w:t>’</w:t>
      </w:r>
      <w:r w:rsidR="00433276" w:rsidRPr="00A66252">
        <w:rPr>
          <w:lang w:val="fr-FR"/>
        </w:rPr>
        <w:t xml:space="preserve">une protection spéciale du fait de leur vulnérabilité. Quand bien même les enfants du requérant </w:t>
      </w:r>
      <w:r w:rsidR="00354CB5" w:rsidRPr="00A66252">
        <w:rPr>
          <w:lang w:val="fr-FR"/>
        </w:rPr>
        <w:t>avaient</w:t>
      </w:r>
      <w:r w:rsidR="00433276" w:rsidRPr="00A66252">
        <w:rPr>
          <w:lang w:val="fr-FR"/>
        </w:rPr>
        <w:t xml:space="preserve"> la nationalité géorgienne, ils </w:t>
      </w:r>
      <w:r w:rsidR="00354CB5" w:rsidRPr="00A66252">
        <w:rPr>
          <w:lang w:val="fr-FR"/>
        </w:rPr>
        <w:t>étaient</w:t>
      </w:r>
      <w:r w:rsidR="00433276" w:rsidRPr="00A66252">
        <w:rPr>
          <w:lang w:val="fr-FR"/>
        </w:rPr>
        <w:t xml:space="preserve"> « sociologiquement » belges et ne parl</w:t>
      </w:r>
      <w:r w:rsidR="00354CB5" w:rsidRPr="00A66252">
        <w:rPr>
          <w:lang w:val="fr-FR"/>
        </w:rPr>
        <w:t>ai</w:t>
      </w:r>
      <w:r w:rsidR="00433276" w:rsidRPr="00A66252">
        <w:rPr>
          <w:lang w:val="fr-FR"/>
        </w:rPr>
        <w:t>ent que le français. Autorisés au séjour depuis 2010 et pour deux d</w:t>
      </w:r>
      <w:r w:rsidR="00A66252" w:rsidRPr="00A66252">
        <w:rPr>
          <w:lang w:val="fr-FR"/>
        </w:rPr>
        <w:t>’</w:t>
      </w:r>
      <w:r w:rsidR="00433276" w:rsidRPr="00A66252">
        <w:rPr>
          <w:lang w:val="fr-FR"/>
        </w:rPr>
        <w:t>entre eux, nés en Belgique, ils n</w:t>
      </w:r>
      <w:r w:rsidR="00A66252" w:rsidRPr="00A66252">
        <w:rPr>
          <w:lang w:val="fr-FR"/>
        </w:rPr>
        <w:t>’</w:t>
      </w:r>
      <w:r w:rsidR="00354CB5" w:rsidRPr="00A66252">
        <w:rPr>
          <w:lang w:val="fr-FR"/>
        </w:rPr>
        <w:t xml:space="preserve">avaient </w:t>
      </w:r>
      <w:r w:rsidR="00433276" w:rsidRPr="00A66252">
        <w:rPr>
          <w:lang w:val="fr-FR"/>
        </w:rPr>
        <w:t xml:space="preserve">aucune attache en Géorgie, ne parlent ni le </w:t>
      </w:r>
      <w:r w:rsidR="003D09B9" w:rsidRPr="00A66252">
        <w:rPr>
          <w:lang w:val="fr-FR"/>
        </w:rPr>
        <w:t xml:space="preserve">géorgien </w:t>
      </w:r>
      <w:r w:rsidR="00433276" w:rsidRPr="00A66252">
        <w:rPr>
          <w:lang w:val="fr-FR"/>
        </w:rPr>
        <w:t xml:space="preserve">ni le </w:t>
      </w:r>
      <w:r w:rsidR="003D09B9" w:rsidRPr="00A66252">
        <w:rPr>
          <w:lang w:val="fr-FR"/>
        </w:rPr>
        <w:t xml:space="preserve">russe </w:t>
      </w:r>
      <w:r w:rsidR="00433276" w:rsidRPr="00A66252">
        <w:rPr>
          <w:lang w:val="fr-FR"/>
        </w:rPr>
        <w:t>et ser</w:t>
      </w:r>
      <w:r w:rsidR="00354CB5" w:rsidRPr="00A66252">
        <w:rPr>
          <w:lang w:val="fr-FR"/>
        </w:rPr>
        <w:t>aien</w:t>
      </w:r>
      <w:r w:rsidR="00433276" w:rsidRPr="00A66252">
        <w:rPr>
          <w:lang w:val="fr-FR"/>
        </w:rPr>
        <w:t>t à moyen terme en mesure de devenir des citoyens belges à part entière.</w:t>
      </w:r>
    </w:p>
    <w:p w:rsidR="00A66252"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215</w:t>
      </w:r>
      <w:r w:rsidRPr="00A66252">
        <w:rPr>
          <w:lang w:val="fr-FR"/>
        </w:rPr>
        <w:fldChar w:fldCharType="end"/>
      </w:r>
      <w:r w:rsidRPr="00A66252">
        <w:rPr>
          <w:lang w:val="fr-FR"/>
        </w:rPr>
        <w:t>.  À cela s</w:t>
      </w:r>
      <w:r w:rsidR="00A66252" w:rsidRPr="00A66252">
        <w:rPr>
          <w:lang w:val="fr-FR"/>
        </w:rPr>
        <w:t>’</w:t>
      </w:r>
      <w:r w:rsidRPr="00A66252">
        <w:rPr>
          <w:lang w:val="fr-FR"/>
        </w:rPr>
        <w:t>ajout</w:t>
      </w:r>
      <w:r w:rsidR="00354CB5" w:rsidRPr="00A66252">
        <w:rPr>
          <w:lang w:val="fr-FR"/>
        </w:rPr>
        <w:t>ait</w:t>
      </w:r>
      <w:r w:rsidR="00433276" w:rsidRPr="00A66252">
        <w:rPr>
          <w:lang w:val="fr-FR"/>
        </w:rPr>
        <w:t xml:space="preserve"> la circonstance que leur fille aînée avec</w:t>
      </w:r>
      <w:r w:rsidR="00B97583" w:rsidRPr="00A66252">
        <w:rPr>
          <w:lang w:val="fr-FR"/>
        </w:rPr>
        <w:t xml:space="preserve"> </w:t>
      </w:r>
      <w:r w:rsidR="00433276" w:rsidRPr="00A66252">
        <w:rPr>
          <w:lang w:val="fr-FR"/>
        </w:rPr>
        <w:t xml:space="preserve">laquelle son épouse était arrivée en Belgique en 1998 </w:t>
      </w:r>
      <w:r w:rsidR="00354CB5" w:rsidRPr="00A66252">
        <w:rPr>
          <w:lang w:val="fr-FR"/>
        </w:rPr>
        <w:t>était</w:t>
      </w:r>
      <w:r w:rsidR="00433276" w:rsidRPr="00A66252">
        <w:rPr>
          <w:lang w:val="fr-FR"/>
        </w:rPr>
        <w:t xml:space="preserve"> adulte et vi</w:t>
      </w:r>
      <w:r w:rsidR="00354CB5" w:rsidRPr="00A66252">
        <w:rPr>
          <w:lang w:val="fr-FR"/>
        </w:rPr>
        <w:t>vai</w:t>
      </w:r>
      <w:r w:rsidR="00433276" w:rsidRPr="00A66252">
        <w:rPr>
          <w:lang w:val="fr-FR"/>
        </w:rPr>
        <w:t>t, avec ses deux enfants, en Belgique.</w:t>
      </w:r>
    </w:p>
    <w:p w:rsidR="00433276"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216</w:t>
      </w:r>
      <w:r w:rsidRPr="00A66252">
        <w:rPr>
          <w:lang w:val="fr-FR"/>
        </w:rPr>
        <w:fldChar w:fldCharType="end"/>
      </w:r>
      <w:r w:rsidRPr="00A66252">
        <w:rPr>
          <w:lang w:val="fr-FR"/>
        </w:rPr>
        <w:t>.  </w:t>
      </w:r>
      <w:r w:rsidR="00433276" w:rsidRPr="00A66252">
        <w:rPr>
          <w:lang w:val="fr-FR"/>
        </w:rPr>
        <w:t>Le refus de régularisation du requérant a</w:t>
      </w:r>
      <w:r w:rsidR="00354CB5" w:rsidRPr="00A66252">
        <w:rPr>
          <w:lang w:val="fr-FR"/>
        </w:rPr>
        <w:t>vait</w:t>
      </w:r>
      <w:r w:rsidR="00433276" w:rsidRPr="00A66252">
        <w:rPr>
          <w:lang w:val="fr-FR"/>
        </w:rPr>
        <w:t xml:space="preserve"> maintenu la famille dans une situation de vulnérabilité économique et sociale qui a</w:t>
      </w:r>
      <w:r w:rsidR="00354CB5" w:rsidRPr="00A66252">
        <w:rPr>
          <w:lang w:val="fr-FR"/>
        </w:rPr>
        <w:t>vait</w:t>
      </w:r>
      <w:r w:rsidR="00433276" w:rsidRPr="00A66252">
        <w:rPr>
          <w:lang w:val="fr-FR"/>
        </w:rPr>
        <w:t xml:space="preserve"> eu un fort impact psychologique et a</w:t>
      </w:r>
      <w:r w:rsidR="00354CB5" w:rsidRPr="00A66252">
        <w:rPr>
          <w:lang w:val="fr-FR"/>
        </w:rPr>
        <w:t>vait</w:t>
      </w:r>
      <w:r w:rsidR="00433276" w:rsidRPr="00A66252">
        <w:rPr>
          <w:lang w:val="fr-FR"/>
        </w:rPr>
        <w:t xml:space="preserve"> entravé le développement de leur vie au quotidien. Les implications concrètes de cette situation sur le </w:t>
      </w:r>
      <w:r w:rsidR="00B97583" w:rsidRPr="00A66252">
        <w:rPr>
          <w:lang w:val="fr-FR"/>
        </w:rPr>
        <w:br w:type="textWrapping" w:clear="all"/>
      </w:r>
      <w:r w:rsidR="00433276" w:rsidRPr="00A66252">
        <w:rPr>
          <w:lang w:val="fr-FR"/>
        </w:rPr>
        <w:t xml:space="preserve">requérant </w:t>
      </w:r>
      <w:r w:rsidR="00433276" w:rsidRPr="00A66252">
        <w:rPr>
          <w:rFonts w:eastAsia="Times New Roman"/>
          <w:lang w:val="fr-FR"/>
        </w:rPr>
        <w:t xml:space="preserve">– </w:t>
      </w:r>
      <w:r w:rsidR="00433276" w:rsidRPr="00A66252">
        <w:rPr>
          <w:lang w:val="fr-FR"/>
        </w:rPr>
        <w:t>interdiction de travailler et de contribuer aux charges du ménage, crainte permanente d</w:t>
      </w:r>
      <w:r w:rsidR="00A66252" w:rsidRPr="00A66252">
        <w:rPr>
          <w:lang w:val="fr-FR"/>
        </w:rPr>
        <w:t>’</w:t>
      </w:r>
      <w:r w:rsidR="00433276" w:rsidRPr="00A66252">
        <w:rPr>
          <w:lang w:val="fr-FR"/>
        </w:rPr>
        <w:t>être arrêté, détérioration de l</w:t>
      </w:r>
      <w:r w:rsidR="00A66252" w:rsidRPr="00A66252">
        <w:rPr>
          <w:lang w:val="fr-FR"/>
        </w:rPr>
        <w:t>’</w:t>
      </w:r>
      <w:r w:rsidR="00433276" w:rsidRPr="00A66252">
        <w:rPr>
          <w:lang w:val="fr-FR"/>
        </w:rPr>
        <w:t xml:space="preserve">image de soi, etc., </w:t>
      </w:r>
      <w:r w:rsidR="00433276" w:rsidRPr="00A66252">
        <w:rPr>
          <w:rFonts w:eastAsia="Times New Roman"/>
          <w:lang w:val="fr-FR"/>
        </w:rPr>
        <w:t xml:space="preserve">– </w:t>
      </w:r>
      <w:r w:rsidR="00354CB5" w:rsidRPr="00A66252">
        <w:rPr>
          <w:lang w:val="fr-FR"/>
        </w:rPr>
        <w:t>avaient</w:t>
      </w:r>
      <w:r w:rsidR="00433276" w:rsidRPr="00A66252">
        <w:rPr>
          <w:lang w:val="fr-FR"/>
        </w:rPr>
        <w:t xml:space="preserve"> affecté les relations entre les enfants et leur père. Le comportement délictueux du requérant, qui était motivé principalement par des raisons économiques de survie, </w:t>
      </w:r>
      <w:r w:rsidR="006D3862" w:rsidRPr="00A66252">
        <w:rPr>
          <w:lang w:val="fr-FR"/>
        </w:rPr>
        <w:t xml:space="preserve">appartenait </w:t>
      </w:r>
      <w:r w:rsidR="00433276" w:rsidRPr="00A66252">
        <w:rPr>
          <w:lang w:val="fr-FR"/>
        </w:rPr>
        <w:t xml:space="preserve">au passé. </w:t>
      </w:r>
      <w:r w:rsidR="00354CB5" w:rsidRPr="00A66252">
        <w:rPr>
          <w:lang w:val="fr-FR"/>
        </w:rPr>
        <w:t>L</w:t>
      </w:r>
      <w:r w:rsidR="00433276" w:rsidRPr="00A66252">
        <w:rPr>
          <w:lang w:val="fr-FR"/>
        </w:rPr>
        <w:t xml:space="preserve">e requérant </w:t>
      </w:r>
      <w:r w:rsidR="006D3862" w:rsidRPr="00A66252">
        <w:rPr>
          <w:lang w:val="fr-FR"/>
        </w:rPr>
        <w:t xml:space="preserve">était </w:t>
      </w:r>
      <w:r w:rsidR="00433276" w:rsidRPr="00A66252">
        <w:rPr>
          <w:lang w:val="fr-FR"/>
        </w:rPr>
        <w:t>dans un état de grande faiblesse et rest</w:t>
      </w:r>
      <w:r w:rsidR="006D3862" w:rsidRPr="00A66252">
        <w:rPr>
          <w:lang w:val="fr-FR"/>
        </w:rPr>
        <w:t>ait</w:t>
      </w:r>
      <w:r w:rsidR="00433276" w:rsidRPr="00A66252">
        <w:rPr>
          <w:lang w:val="fr-FR"/>
        </w:rPr>
        <w:t xml:space="preserve"> la plupart du temps chez lui, sortant juste pour aller chercher ses enfants à l</w:t>
      </w:r>
      <w:r w:rsidR="00A66252" w:rsidRPr="00A66252">
        <w:rPr>
          <w:lang w:val="fr-FR"/>
        </w:rPr>
        <w:t>’</w:t>
      </w:r>
      <w:r w:rsidR="00433276" w:rsidRPr="00A66252">
        <w:rPr>
          <w:lang w:val="fr-FR"/>
        </w:rPr>
        <w:t>école.</w:t>
      </w:r>
    </w:p>
    <w:p w:rsidR="00433276"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217</w:t>
      </w:r>
      <w:r w:rsidRPr="00A66252">
        <w:rPr>
          <w:lang w:val="fr-FR"/>
        </w:rPr>
        <w:fldChar w:fldCharType="end"/>
      </w:r>
      <w:r w:rsidRPr="00A66252">
        <w:rPr>
          <w:lang w:val="fr-FR"/>
        </w:rPr>
        <w:t>.  </w:t>
      </w:r>
      <w:r w:rsidR="00433276" w:rsidRPr="00A66252">
        <w:rPr>
          <w:lang w:val="fr-FR"/>
        </w:rPr>
        <w:t>L</w:t>
      </w:r>
      <w:r w:rsidR="00A66252" w:rsidRPr="00A66252">
        <w:rPr>
          <w:lang w:val="fr-FR"/>
        </w:rPr>
        <w:t>’</w:t>
      </w:r>
      <w:r w:rsidR="00433276" w:rsidRPr="00A66252">
        <w:rPr>
          <w:lang w:val="fr-FR"/>
        </w:rPr>
        <w:t>aggravation de l</w:t>
      </w:r>
      <w:r w:rsidR="00A66252" w:rsidRPr="00A66252">
        <w:rPr>
          <w:lang w:val="fr-FR"/>
        </w:rPr>
        <w:t>’</w:t>
      </w:r>
      <w:r w:rsidR="00433276" w:rsidRPr="00A66252">
        <w:rPr>
          <w:lang w:val="fr-FR"/>
        </w:rPr>
        <w:t>état de santé du requérant combinée à l</w:t>
      </w:r>
      <w:r w:rsidR="00A66252" w:rsidRPr="00A66252">
        <w:rPr>
          <w:lang w:val="fr-FR"/>
        </w:rPr>
        <w:t>’</w:t>
      </w:r>
      <w:r w:rsidR="00433276" w:rsidRPr="00A66252">
        <w:rPr>
          <w:lang w:val="fr-FR"/>
        </w:rPr>
        <w:t>impossibilité de maintenir l</w:t>
      </w:r>
      <w:r w:rsidR="00A66252" w:rsidRPr="00A66252">
        <w:rPr>
          <w:lang w:val="fr-FR"/>
        </w:rPr>
        <w:t>’</w:t>
      </w:r>
      <w:r w:rsidR="00433276" w:rsidRPr="00A66252">
        <w:rPr>
          <w:lang w:val="fr-FR"/>
        </w:rPr>
        <w:t xml:space="preserve">état de santé du requérant en Géorgie et à la longueur du séjour du requérant et de sa famille en Belgique </w:t>
      </w:r>
      <w:r w:rsidR="0089454C" w:rsidRPr="00A66252">
        <w:rPr>
          <w:lang w:val="fr-FR"/>
        </w:rPr>
        <w:t xml:space="preserve">auraient dû </w:t>
      </w:r>
      <w:r w:rsidR="00433276" w:rsidRPr="00A66252">
        <w:rPr>
          <w:lang w:val="fr-FR"/>
        </w:rPr>
        <w:t>permettre de reconsidérer l</w:t>
      </w:r>
      <w:r w:rsidR="00A66252" w:rsidRPr="00A66252">
        <w:rPr>
          <w:lang w:val="fr-FR"/>
        </w:rPr>
        <w:t>’</w:t>
      </w:r>
      <w:r w:rsidR="00433276" w:rsidRPr="00A66252">
        <w:rPr>
          <w:lang w:val="fr-FR"/>
        </w:rPr>
        <w:t xml:space="preserve">approche </w:t>
      </w:r>
      <w:r w:rsidR="00354CB5" w:rsidRPr="00A66252">
        <w:rPr>
          <w:lang w:val="fr-FR"/>
        </w:rPr>
        <w:t>dans l</w:t>
      </w:r>
      <w:r w:rsidR="00A66252" w:rsidRPr="00A66252">
        <w:rPr>
          <w:lang w:val="fr-FR"/>
        </w:rPr>
        <w:t>’</w:t>
      </w:r>
      <w:r w:rsidR="00354CB5" w:rsidRPr="00A66252">
        <w:rPr>
          <w:lang w:val="fr-FR"/>
        </w:rPr>
        <w:t xml:space="preserve">arrêt </w:t>
      </w:r>
      <w:r w:rsidR="00433276" w:rsidRPr="00A66252">
        <w:rPr>
          <w:lang w:val="fr-FR"/>
        </w:rPr>
        <w:t>de la chambre, d</w:t>
      </w:r>
      <w:r w:rsidR="00A66252" w:rsidRPr="00A66252">
        <w:rPr>
          <w:lang w:val="fr-FR"/>
        </w:rPr>
        <w:t>’</w:t>
      </w:r>
      <w:r w:rsidR="00433276" w:rsidRPr="00A66252">
        <w:rPr>
          <w:lang w:val="fr-FR"/>
        </w:rPr>
        <w:t>apprécier la situation dans son ensemble et de conclur</w:t>
      </w:r>
      <w:r w:rsidR="00354CB5" w:rsidRPr="00A66252">
        <w:rPr>
          <w:lang w:val="fr-FR"/>
        </w:rPr>
        <w:t xml:space="preserve">e que la famille du requérant avait </w:t>
      </w:r>
      <w:r w:rsidR="00433276" w:rsidRPr="00A66252">
        <w:rPr>
          <w:lang w:val="fr-FR"/>
        </w:rPr>
        <w:t>des besoins spécifiques liés à leur intégration en Belgique. La solution préconisée par la chambre que la famille se déplace le temps nécessaire en Géorgie pour prendre soin du requérant jusqu</w:t>
      </w:r>
      <w:r w:rsidR="00A66252" w:rsidRPr="00A66252">
        <w:rPr>
          <w:lang w:val="fr-FR"/>
        </w:rPr>
        <w:t>’</w:t>
      </w:r>
      <w:r w:rsidR="00433276" w:rsidRPr="00A66252">
        <w:rPr>
          <w:lang w:val="fr-FR"/>
        </w:rPr>
        <w:t xml:space="preserve">à son décès </w:t>
      </w:r>
      <w:r w:rsidR="0089454C" w:rsidRPr="00A66252">
        <w:rPr>
          <w:lang w:val="fr-FR"/>
        </w:rPr>
        <w:t>n</w:t>
      </w:r>
      <w:r w:rsidR="00A66252" w:rsidRPr="00A66252">
        <w:rPr>
          <w:lang w:val="fr-FR"/>
        </w:rPr>
        <w:t>’</w:t>
      </w:r>
      <w:r w:rsidR="0089454C" w:rsidRPr="00A66252">
        <w:rPr>
          <w:lang w:val="fr-FR"/>
        </w:rPr>
        <w:t xml:space="preserve">aurait pas été </w:t>
      </w:r>
      <w:r w:rsidR="00433276" w:rsidRPr="00A66252">
        <w:rPr>
          <w:lang w:val="fr-FR"/>
        </w:rPr>
        <w:t xml:space="preserve">envisageable: cela </w:t>
      </w:r>
      <w:r w:rsidR="0089454C" w:rsidRPr="00A66252">
        <w:rPr>
          <w:lang w:val="fr-FR"/>
        </w:rPr>
        <w:t xml:space="preserve">aurait </w:t>
      </w:r>
      <w:r w:rsidR="00433276" w:rsidRPr="00A66252">
        <w:rPr>
          <w:lang w:val="fr-FR"/>
        </w:rPr>
        <w:t>impliqu</w:t>
      </w:r>
      <w:r w:rsidR="0089454C" w:rsidRPr="00A66252">
        <w:rPr>
          <w:lang w:val="fr-FR"/>
        </w:rPr>
        <w:t>é</w:t>
      </w:r>
      <w:r w:rsidR="00433276" w:rsidRPr="00A66252">
        <w:rPr>
          <w:lang w:val="fr-FR"/>
        </w:rPr>
        <w:t xml:space="preserve"> que les enfants </w:t>
      </w:r>
      <w:r w:rsidR="0089454C" w:rsidRPr="00A66252">
        <w:rPr>
          <w:lang w:val="fr-FR"/>
        </w:rPr>
        <w:t xml:space="preserve">aient été </w:t>
      </w:r>
      <w:r w:rsidR="00433276" w:rsidRPr="00A66252">
        <w:rPr>
          <w:lang w:val="fr-FR"/>
        </w:rPr>
        <w:t>retirés de l</w:t>
      </w:r>
      <w:r w:rsidR="00A66252" w:rsidRPr="00A66252">
        <w:rPr>
          <w:lang w:val="fr-FR"/>
        </w:rPr>
        <w:t>’</w:t>
      </w:r>
      <w:r w:rsidR="00433276" w:rsidRPr="00A66252">
        <w:rPr>
          <w:lang w:val="fr-FR"/>
        </w:rPr>
        <w:t>école en Belgique, qu</w:t>
      </w:r>
      <w:r w:rsidR="00A66252" w:rsidRPr="00A66252">
        <w:rPr>
          <w:lang w:val="fr-FR"/>
        </w:rPr>
        <w:t>’</w:t>
      </w:r>
      <w:r w:rsidR="00433276" w:rsidRPr="00A66252">
        <w:rPr>
          <w:lang w:val="fr-FR"/>
        </w:rPr>
        <w:t xml:space="preserve">ils </w:t>
      </w:r>
      <w:r w:rsidR="0089454C" w:rsidRPr="00A66252">
        <w:rPr>
          <w:lang w:val="fr-FR"/>
        </w:rPr>
        <w:t xml:space="preserve">aient été </w:t>
      </w:r>
      <w:r w:rsidR="00433276" w:rsidRPr="00A66252">
        <w:rPr>
          <w:lang w:val="fr-FR"/>
        </w:rPr>
        <w:t>emmenés dans un pays qu</w:t>
      </w:r>
      <w:r w:rsidR="00A66252" w:rsidRPr="00A66252">
        <w:rPr>
          <w:lang w:val="fr-FR"/>
        </w:rPr>
        <w:t>’</w:t>
      </w:r>
      <w:r w:rsidR="00433276" w:rsidRPr="00A66252">
        <w:rPr>
          <w:lang w:val="fr-FR"/>
        </w:rPr>
        <w:t>ils ne connaiss</w:t>
      </w:r>
      <w:r w:rsidR="0089454C" w:rsidRPr="00A66252">
        <w:rPr>
          <w:lang w:val="fr-FR"/>
        </w:rPr>
        <w:t>aie</w:t>
      </w:r>
      <w:r w:rsidR="00433276" w:rsidRPr="00A66252">
        <w:rPr>
          <w:lang w:val="fr-FR"/>
        </w:rPr>
        <w:t>nt pas et dont ils ne parl</w:t>
      </w:r>
      <w:r w:rsidR="0089454C" w:rsidRPr="00A66252">
        <w:rPr>
          <w:lang w:val="fr-FR"/>
        </w:rPr>
        <w:t>aien</w:t>
      </w:r>
      <w:r w:rsidR="00433276" w:rsidRPr="00A66252">
        <w:rPr>
          <w:lang w:val="fr-FR"/>
        </w:rPr>
        <w:t xml:space="preserve">t pas la langue ; leur mère </w:t>
      </w:r>
      <w:r w:rsidR="0089454C" w:rsidRPr="00A66252">
        <w:rPr>
          <w:lang w:val="fr-FR"/>
        </w:rPr>
        <w:t>n</w:t>
      </w:r>
      <w:r w:rsidR="00A66252" w:rsidRPr="00A66252">
        <w:rPr>
          <w:lang w:val="fr-FR"/>
        </w:rPr>
        <w:t>’</w:t>
      </w:r>
      <w:r w:rsidR="0089454C" w:rsidRPr="00A66252">
        <w:rPr>
          <w:lang w:val="fr-FR"/>
        </w:rPr>
        <w:t>aurait pas été</w:t>
      </w:r>
      <w:r w:rsidR="00433276" w:rsidRPr="00A66252">
        <w:rPr>
          <w:lang w:val="fr-FR"/>
        </w:rPr>
        <w:t xml:space="preserve"> en mesure de prendre en charge la famille en Géorgie vu l</w:t>
      </w:r>
      <w:r w:rsidR="00A66252" w:rsidRPr="00A66252">
        <w:rPr>
          <w:lang w:val="fr-FR"/>
        </w:rPr>
        <w:t>’</w:t>
      </w:r>
      <w:r w:rsidR="00433276" w:rsidRPr="00A66252">
        <w:rPr>
          <w:lang w:val="fr-FR"/>
        </w:rPr>
        <w:t xml:space="preserve">état du requérant et le requérant </w:t>
      </w:r>
      <w:r w:rsidR="0089454C" w:rsidRPr="00A66252">
        <w:rPr>
          <w:lang w:val="fr-FR"/>
        </w:rPr>
        <w:t xml:space="preserve">serait décédé </w:t>
      </w:r>
      <w:r w:rsidR="00433276" w:rsidRPr="00A66252">
        <w:rPr>
          <w:lang w:val="fr-FR"/>
        </w:rPr>
        <w:t>dans des conditions particulièrement difficiles. De plus, s</w:t>
      </w:r>
      <w:r w:rsidR="00A66252" w:rsidRPr="00A66252">
        <w:rPr>
          <w:lang w:val="fr-FR"/>
        </w:rPr>
        <w:t>’</w:t>
      </w:r>
      <w:r w:rsidR="00433276" w:rsidRPr="00A66252">
        <w:rPr>
          <w:lang w:val="fr-FR"/>
        </w:rPr>
        <w:t xml:space="preserve">ils </w:t>
      </w:r>
      <w:r w:rsidR="0089454C" w:rsidRPr="00A66252">
        <w:rPr>
          <w:lang w:val="fr-FR"/>
        </w:rPr>
        <w:t xml:space="preserve">avaient dû </w:t>
      </w:r>
      <w:r w:rsidR="00433276" w:rsidRPr="00A66252">
        <w:rPr>
          <w:lang w:val="fr-FR"/>
        </w:rPr>
        <w:t>rester en Géorgie plus d</w:t>
      </w:r>
      <w:r w:rsidR="00A66252" w:rsidRPr="00A66252">
        <w:rPr>
          <w:lang w:val="fr-FR"/>
        </w:rPr>
        <w:t>’</w:t>
      </w:r>
      <w:r w:rsidR="00433276" w:rsidRPr="00A66252">
        <w:rPr>
          <w:lang w:val="fr-FR"/>
        </w:rPr>
        <w:t>un an, l</w:t>
      </w:r>
      <w:r w:rsidR="00A66252" w:rsidRPr="00A66252">
        <w:rPr>
          <w:lang w:val="fr-FR"/>
        </w:rPr>
        <w:t>’</w:t>
      </w:r>
      <w:r w:rsidR="00433276" w:rsidRPr="00A66252">
        <w:rPr>
          <w:lang w:val="fr-FR"/>
        </w:rPr>
        <w:t xml:space="preserve">épouse du requérant et ses enfants </w:t>
      </w:r>
      <w:r w:rsidR="004D08D2" w:rsidRPr="00A66252">
        <w:rPr>
          <w:lang w:val="fr-FR"/>
        </w:rPr>
        <w:t>auraient</w:t>
      </w:r>
      <w:r w:rsidR="0089454C" w:rsidRPr="00A66252">
        <w:rPr>
          <w:lang w:val="fr-FR"/>
        </w:rPr>
        <w:t xml:space="preserve"> perdu </w:t>
      </w:r>
      <w:r w:rsidR="00433276" w:rsidRPr="00A66252">
        <w:rPr>
          <w:lang w:val="fr-FR"/>
        </w:rPr>
        <w:t xml:space="preserve">leur droit au retour en Belgique. Une telle solution </w:t>
      </w:r>
      <w:r w:rsidR="0089454C" w:rsidRPr="00A66252">
        <w:rPr>
          <w:lang w:val="fr-FR"/>
        </w:rPr>
        <w:t xml:space="preserve">aurait été </w:t>
      </w:r>
      <w:r w:rsidR="00433276" w:rsidRPr="00A66252">
        <w:rPr>
          <w:lang w:val="fr-FR"/>
        </w:rPr>
        <w:t>pour le moins disproportionnée</w:t>
      </w:r>
      <w:r w:rsidR="00800622" w:rsidRPr="00A66252">
        <w:rPr>
          <w:lang w:val="fr-FR"/>
        </w:rPr>
        <w:t xml:space="preserve"> par rapport aux intérêts de l</w:t>
      </w:r>
      <w:r w:rsidR="00A66252" w:rsidRPr="00A66252">
        <w:rPr>
          <w:lang w:val="fr-FR"/>
        </w:rPr>
        <w:t>’</w:t>
      </w:r>
      <w:r w:rsidR="00800622" w:rsidRPr="00A66252">
        <w:rPr>
          <w:lang w:val="fr-FR"/>
        </w:rPr>
        <w:t>É</w:t>
      </w:r>
      <w:r w:rsidR="00433276" w:rsidRPr="00A66252">
        <w:rPr>
          <w:lang w:val="fr-FR"/>
        </w:rPr>
        <w:t>tat belge.</w:t>
      </w:r>
    </w:p>
    <w:p w:rsidR="00433276" w:rsidRPr="00A66252" w:rsidRDefault="00EE05A3" w:rsidP="00A66252">
      <w:pPr>
        <w:pStyle w:val="ECHRHeading3"/>
        <w:rPr>
          <w:lang w:val="fr-FR"/>
        </w:rPr>
      </w:pPr>
      <w:r w:rsidRPr="00A66252">
        <w:rPr>
          <w:lang w:val="fr-FR"/>
        </w:rPr>
        <w:t>2.  </w:t>
      </w:r>
      <w:r w:rsidR="00433276" w:rsidRPr="00A66252">
        <w:rPr>
          <w:lang w:val="fr-FR"/>
        </w:rPr>
        <w:t>Le Gouvernement</w:t>
      </w:r>
    </w:p>
    <w:p w:rsidR="00433276"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218</w:t>
      </w:r>
      <w:r w:rsidRPr="00A66252">
        <w:rPr>
          <w:lang w:val="fr-FR"/>
        </w:rPr>
        <w:fldChar w:fldCharType="end"/>
      </w:r>
      <w:r w:rsidRPr="00A66252">
        <w:rPr>
          <w:lang w:val="fr-FR"/>
        </w:rPr>
        <w:t>.  </w:t>
      </w:r>
      <w:r w:rsidR="00433276" w:rsidRPr="00A66252">
        <w:rPr>
          <w:lang w:val="fr-FR"/>
        </w:rPr>
        <w:t>Le Gouvernement insist</w:t>
      </w:r>
      <w:r w:rsidR="00F038A7" w:rsidRPr="00A66252">
        <w:rPr>
          <w:lang w:val="fr-FR"/>
        </w:rPr>
        <w:t>e</w:t>
      </w:r>
      <w:r w:rsidR="00433276" w:rsidRPr="00A66252">
        <w:rPr>
          <w:lang w:val="fr-FR"/>
        </w:rPr>
        <w:t xml:space="preserve"> sur l</w:t>
      </w:r>
      <w:r w:rsidR="00A66252" w:rsidRPr="00A66252">
        <w:rPr>
          <w:lang w:val="fr-FR"/>
        </w:rPr>
        <w:t>’</w:t>
      </w:r>
      <w:r w:rsidR="00433276" w:rsidRPr="00A66252">
        <w:rPr>
          <w:lang w:val="fr-FR"/>
        </w:rPr>
        <w:t xml:space="preserve">importance à accorder au passé criminel du requérant et au fait que son état de délinquance </w:t>
      </w:r>
      <w:r w:rsidR="0089454C" w:rsidRPr="00A66252">
        <w:rPr>
          <w:lang w:val="fr-FR"/>
        </w:rPr>
        <w:t>s</w:t>
      </w:r>
      <w:r w:rsidR="00A66252" w:rsidRPr="00A66252">
        <w:rPr>
          <w:lang w:val="fr-FR"/>
        </w:rPr>
        <w:t>’</w:t>
      </w:r>
      <w:r w:rsidR="0089454C" w:rsidRPr="00A66252">
        <w:rPr>
          <w:lang w:val="fr-FR"/>
        </w:rPr>
        <w:t xml:space="preserve">était </w:t>
      </w:r>
      <w:r w:rsidRPr="00A66252">
        <w:rPr>
          <w:lang w:val="fr-FR"/>
        </w:rPr>
        <w:t>poursuivi</w:t>
      </w:r>
      <w:r w:rsidR="00433276" w:rsidRPr="00A66252">
        <w:rPr>
          <w:lang w:val="fr-FR"/>
        </w:rPr>
        <w:t xml:space="preserve"> malgré sa maladie.</w:t>
      </w:r>
    </w:p>
    <w:p w:rsidR="00433276" w:rsidRPr="00A66252" w:rsidRDefault="00317797" w:rsidP="00A66252">
      <w:pPr>
        <w:pStyle w:val="ECHRPara"/>
        <w:rPr>
          <w:lang w:val="fr-FR"/>
        </w:rPr>
      </w:pPr>
      <w:r w:rsidRPr="00A66252">
        <w:rPr>
          <w:lang w:val="fr-FR"/>
        </w:rPr>
        <w:lastRenderedPageBreak/>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219</w:t>
      </w:r>
      <w:r w:rsidRPr="00A66252">
        <w:rPr>
          <w:lang w:val="fr-FR"/>
        </w:rPr>
        <w:fldChar w:fldCharType="end"/>
      </w:r>
      <w:r w:rsidRPr="00A66252">
        <w:rPr>
          <w:lang w:val="fr-FR"/>
        </w:rPr>
        <w:t>.  </w:t>
      </w:r>
      <w:r w:rsidR="00433276" w:rsidRPr="00A66252">
        <w:rPr>
          <w:lang w:val="fr-FR"/>
        </w:rPr>
        <w:t>Quant à l</w:t>
      </w:r>
      <w:r w:rsidR="00A66252" w:rsidRPr="00A66252">
        <w:rPr>
          <w:lang w:val="fr-FR"/>
        </w:rPr>
        <w:t>’</w:t>
      </w:r>
      <w:r w:rsidR="00433276" w:rsidRPr="00A66252">
        <w:rPr>
          <w:lang w:val="fr-FR"/>
        </w:rPr>
        <w:t>intérêt supérieur des enfants, le Gouvernement estim</w:t>
      </w:r>
      <w:r w:rsidR="00F038A7" w:rsidRPr="00A66252">
        <w:rPr>
          <w:lang w:val="fr-FR"/>
        </w:rPr>
        <w:t>e</w:t>
      </w:r>
      <w:r w:rsidR="00433276" w:rsidRPr="00A66252">
        <w:rPr>
          <w:lang w:val="fr-FR"/>
        </w:rPr>
        <w:t xml:space="preserve"> qu</w:t>
      </w:r>
      <w:r w:rsidR="00A66252" w:rsidRPr="00A66252">
        <w:rPr>
          <w:lang w:val="fr-FR"/>
        </w:rPr>
        <w:t>’</w:t>
      </w:r>
      <w:r w:rsidR="00433276" w:rsidRPr="00A66252">
        <w:rPr>
          <w:lang w:val="fr-FR"/>
        </w:rPr>
        <w:t xml:space="preserve">il </w:t>
      </w:r>
      <w:r w:rsidR="0089454C" w:rsidRPr="00A66252">
        <w:rPr>
          <w:lang w:val="fr-FR"/>
        </w:rPr>
        <w:t xml:space="preserve">était </w:t>
      </w:r>
      <w:r w:rsidR="00433276" w:rsidRPr="00A66252">
        <w:rPr>
          <w:lang w:val="fr-FR"/>
        </w:rPr>
        <w:t>difficile à déterminer du fait qu</w:t>
      </w:r>
      <w:r w:rsidR="00A66252" w:rsidRPr="00A66252">
        <w:rPr>
          <w:lang w:val="fr-FR"/>
        </w:rPr>
        <w:t>’</w:t>
      </w:r>
      <w:r w:rsidR="00433276" w:rsidRPr="00A66252">
        <w:rPr>
          <w:lang w:val="fr-FR"/>
        </w:rPr>
        <w:t xml:space="preserve">ils </w:t>
      </w:r>
      <w:r w:rsidR="0089454C" w:rsidRPr="00A66252">
        <w:rPr>
          <w:lang w:val="fr-FR"/>
        </w:rPr>
        <w:t>n</w:t>
      </w:r>
      <w:r w:rsidR="00A66252" w:rsidRPr="00A66252">
        <w:rPr>
          <w:lang w:val="fr-FR"/>
        </w:rPr>
        <w:t>’</w:t>
      </w:r>
      <w:r w:rsidR="0089454C" w:rsidRPr="00A66252">
        <w:rPr>
          <w:lang w:val="fr-FR"/>
        </w:rPr>
        <w:t>étaient</w:t>
      </w:r>
      <w:r w:rsidR="00433276" w:rsidRPr="00A66252">
        <w:rPr>
          <w:lang w:val="fr-FR"/>
        </w:rPr>
        <w:t xml:space="preserve"> pas requérants et surtout que rien n</w:t>
      </w:r>
      <w:r w:rsidR="00A66252" w:rsidRPr="00A66252">
        <w:rPr>
          <w:lang w:val="fr-FR"/>
        </w:rPr>
        <w:t>’</w:t>
      </w:r>
      <w:r w:rsidR="00433276" w:rsidRPr="00A66252">
        <w:rPr>
          <w:lang w:val="fr-FR"/>
        </w:rPr>
        <w:t>indiqu</w:t>
      </w:r>
      <w:r w:rsidR="0089454C" w:rsidRPr="00A66252">
        <w:rPr>
          <w:lang w:val="fr-FR"/>
        </w:rPr>
        <w:t>ait</w:t>
      </w:r>
      <w:r w:rsidR="00433276" w:rsidRPr="00A66252">
        <w:rPr>
          <w:lang w:val="fr-FR"/>
        </w:rPr>
        <w:t xml:space="preserve"> qu</w:t>
      </w:r>
      <w:r w:rsidR="00A66252" w:rsidRPr="00A66252">
        <w:rPr>
          <w:lang w:val="fr-FR"/>
        </w:rPr>
        <w:t>’</w:t>
      </w:r>
      <w:r w:rsidR="00433276" w:rsidRPr="00A66252">
        <w:rPr>
          <w:lang w:val="fr-FR"/>
        </w:rPr>
        <w:t xml:space="preserve">ils </w:t>
      </w:r>
      <w:r w:rsidR="0089454C" w:rsidRPr="00A66252">
        <w:rPr>
          <w:lang w:val="fr-FR"/>
        </w:rPr>
        <w:t>n</w:t>
      </w:r>
      <w:r w:rsidR="00A66252" w:rsidRPr="00A66252">
        <w:rPr>
          <w:lang w:val="fr-FR"/>
        </w:rPr>
        <w:t>’</w:t>
      </w:r>
      <w:r w:rsidR="0089454C" w:rsidRPr="00A66252">
        <w:rPr>
          <w:lang w:val="fr-FR"/>
        </w:rPr>
        <w:t>auraient pas été</w:t>
      </w:r>
      <w:r w:rsidR="00433276" w:rsidRPr="00A66252">
        <w:rPr>
          <w:lang w:val="fr-FR"/>
        </w:rPr>
        <w:t xml:space="preserve"> en mesure de suivre temporairement leur père en Géorgie et d</w:t>
      </w:r>
      <w:r w:rsidR="00A66252" w:rsidRPr="00A66252">
        <w:rPr>
          <w:lang w:val="fr-FR"/>
        </w:rPr>
        <w:t>’</w:t>
      </w:r>
      <w:r w:rsidR="00433276" w:rsidRPr="00A66252">
        <w:rPr>
          <w:lang w:val="fr-FR"/>
        </w:rPr>
        <w:t>y être scolarisés. De plus, à défaut pour le requérant d</w:t>
      </w:r>
      <w:r w:rsidR="00A66252" w:rsidRPr="00A66252">
        <w:rPr>
          <w:lang w:val="fr-FR"/>
        </w:rPr>
        <w:t>’</w:t>
      </w:r>
      <w:r w:rsidR="00433276" w:rsidRPr="00A66252">
        <w:rPr>
          <w:lang w:val="fr-FR"/>
        </w:rPr>
        <w:t>avoir fourni des informations précises sur l</w:t>
      </w:r>
      <w:r w:rsidR="00A66252" w:rsidRPr="00A66252">
        <w:rPr>
          <w:lang w:val="fr-FR"/>
        </w:rPr>
        <w:t>’</w:t>
      </w:r>
      <w:r w:rsidR="00433276" w:rsidRPr="00A66252">
        <w:rPr>
          <w:lang w:val="fr-FR"/>
        </w:rPr>
        <w:t xml:space="preserve">étendue de sa famille en Géorgie et des personnes avec qui il </w:t>
      </w:r>
      <w:r w:rsidR="0089454C" w:rsidRPr="00A66252">
        <w:rPr>
          <w:lang w:val="fr-FR"/>
        </w:rPr>
        <w:t xml:space="preserve">était </w:t>
      </w:r>
      <w:r w:rsidR="00433276" w:rsidRPr="00A66252">
        <w:rPr>
          <w:lang w:val="fr-FR"/>
        </w:rPr>
        <w:t xml:space="preserve">en contact, la globalité de la situation </w:t>
      </w:r>
      <w:r w:rsidR="0089454C" w:rsidRPr="00A66252">
        <w:rPr>
          <w:lang w:val="fr-FR"/>
        </w:rPr>
        <w:t xml:space="preserve">était </w:t>
      </w:r>
      <w:r w:rsidR="00433276" w:rsidRPr="00A66252">
        <w:rPr>
          <w:lang w:val="fr-FR"/>
        </w:rPr>
        <w:t>difficile à apprécier.</w:t>
      </w:r>
    </w:p>
    <w:p w:rsidR="00433276" w:rsidRPr="00A66252" w:rsidRDefault="00317797" w:rsidP="00A66252">
      <w:pPr>
        <w:pStyle w:val="ECHRPara"/>
        <w:rPr>
          <w:rFonts w:eastAsia="Times New Roman"/>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220</w:t>
      </w:r>
      <w:r w:rsidRPr="00A66252">
        <w:rPr>
          <w:lang w:val="fr-FR"/>
        </w:rPr>
        <w:fldChar w:fldCharType="end"/>
      </w:r>
      <w:r w:rsidRPr="00A66252">
        <w:rPr>
          <w:lang w:val="fr-FR"/>
        </w:rPr>
        <w:t>.  </w:t>
      </w:r>
      <w:r w:rsidR="00433276" w:rsidRPr="00A66252">
        <w:rPr>
          <w:lang w:val="fr-FR"/>
        </w:rPr>
        <w:t>Le Gouvernement expliqu</w:t>
      </w:r>
      <w:r w:rsidR="00F038A7" w:rsidRPr="00A66252">
        <w:rPr>
          <w:lang w:val="fr-FR"/>
        </w:rPr>
        <w:t>e</w:t>
      </w:r>
      <w:r w:rsidR="00433276" w:rsidRPr="00A66252">
        <w:rPr>
          <w:lang w:val="fr-FR"/>
        </w:rPr>
        <w:t xml:space="preserve"> ensuite que le titre de séjour </w:t>
      </w:r>
      <w:r w:rsidR="00F038A7" w:rsidRPr="00A66252">
        <w:rPr>
          <w:lang w:val="fr-FR"/>
        </w:rPr>
        <w:t xml:space="preserve">a </w:t>
      </w:r>
      <w:r w:rsidR="00433276" w:rsidRPr="00A66252">
        <w:rPr>
          <w:lang w:val="fr-FR"/>
        </w:rPr>
        <w:t>été délivré, par décision du 29 juillet 2010, à l</w:t>
      </w:r>
      <w:r w:rsidR="00A66252" w:rsidRPr="00A66252">
        <w:rPr>
          <w:lang w:val="fr-FR"/>
        </w:rPr>
        <w:t>’</w:t>
      </w:r>
      <w:r w:rsidR="00433276" w:rsidRPr="00A66252">
        <w:rPr>
          <w:lang w:val="fr-FR"/>
        </w:rPr>
        <w:t>épouse du requérant et à leurs enfants sans limitation de durée en application des articles 9 et 13 de la loi sur les étrangers. Il s</w:t>
      </w:r>
      <w:r w:rsidR="00A66252" w:rsidRPr="00A66252">
        <w:rPr>
          <w:lang w:val="fr-FR"/>
        </w:rPr>
        <w:t>’</w:t>
      </w:r>
      <w:r w:rsidR="00433276" w:rsidRPr="00A66252">
        <w:rPr>
          <w:lang w:val="fr-FR"/>
        </w:rPr>
        <w:t>agit d</w:t>
      </w:r>
      <w:r w:rsidR="00A66252" w:rsidRPr="00A66252">
        <w:rPr>
          <w:lang w:val="fr-FR"/>
        </w:rPr>
        <w:t>’</w:t>
      </w:r>
      <w:r w:rsidR="00433276" w:rsidRPr="00A66252">
        <w:rPr>
          <w:lang w:val="fr-FR"/>
        </w:rPr>
        <w:t>une « carte B » c</w:t>
      </w:r>
      <w:r w:rsidR="00A66252" w:rsidRPr="00A66252">
        <w:rPr>
          <w:lang w:val="fr-FR"/>
        </w:rPr>
        <w:t>’</w:t>
      </w:r>
      <w:r w:rsidR="00433276" w:rsidRPr="00A66252">
        <w:rPr>
          <w:lang w:val="fr-FR"/>
        </w:rPr>
        <w:t>est-à-dire d</w:t>
      </w:r>
      <w:r w:rsidR="00A66252" w:rsidRPr="00A66252">
        <w:rPr>
          <w:lang w:val="fr-FR"/>
        </w:rPr>
        <w:t>’</w:t>
      </w:r>
      <w:r w:rsidR="00433276" w:rsidRPr="00A66252">
        <w:rPr>
          <w:lang w:val="fr-FR"/>
        </w:rPr>
        <w:t>un certificat d</w:t>
      </w:r>
      <w:r w:rsidR="00A66252" w:rsidRPr="00A66252">
        <w:rPr>
          <w:lang w:val="fr-FR"/>
        </w:rPr>
        <w:t>’</w:t>
      </w:r>
      <w:r w:rsidR="00433276" w:rsidRPr="00A66252">
        <w:rPr>
          <w:lang w:val="fr-FR"/>
        </w:rPr>
        <w:t>inscription au registre des étrangers valable cinq ans et renouvelable, le cas échéant par anticipation, par l</w:t>
      </w:r>
      <w:r w:rsidR="00A66252" w:rsidRPr="00A66252">
        <w:rPr>
          <w:lang w:val="fr-FR"/>
        </w:rPr>
        <w:t>’</w:t>
      </w:r>
      <w:r w:rsidR="00433276" w:rsidRPr="00A66252">
        <w:rPr>
          <w:lang w:val="fr-FR"/>
        </w:rPr>
        <w:t>administration communale du lieu de résidence pour une même durée. Ce titre de séjour leur donn</w:t>
      </w:r>
      <w:r w:rsidR="00F038A7" w:rsidRPr="00A66252">
        <w:rPr>
          <w:lang w:val="fr-FR"/>
        </w:rPr>
        <w:t>e</w:t>
      </w:r>
      <w:r w:rsidR="00433276" w:rsidRPr="00A66252">
        <w:rPr>
          <w:lang w:val="fr-FR"/>
        </w:rPr>
        <w:t xml:space="preserve"> le droit de voyager et le droit de retour en Belgique pendant un an ou plus à condition d</w:t>
      </w:r>
      <w:r w:rsidR="00A66252" w:rsidRPr="00A66252">
        <w:rPr>
          <w:lang w:val="fr-FR"/>
        </w:rPr>
        <w:t>’</w:t>
      </w:r>
      <w:r w:rsidR="00433276" w:rsidRPr="00A66252">
        <w:rPr>
          <w:lang w:val="fr-FR"/>
        </w:rPr>
        <w:t>avoir accompli les formalités requises auprès de la commune de résidence et de s</w:t>
      </w:r>
      <w:r w:rsidR="00A66252" w:rsidRPr="00A66252">
        <w:rPr>
          <w:lang w:val="fr-FR"/>
        </w:rPr>
        <w:t>’</w:t>
      </w:r>
      <w:r w:rsidR="00433276" w:rsidRPr="00A66252">
        <w:rPr>
          <w:lang w:val="fr-FR"/>
        </w:rPr>
        <w:t>être assurés de disposer d</w:t>
      </w:r>
      <w:r w:rsidR="00A66252" w:rsidRPr="00A66252">
        <w:rPr>
          <w:lang w:val="fr-FR"/>
        </w:rPr>
        <w:t>’</w:t>
      </w:r>
      <w:r w:rsidR="00433276" w:rsidRPr="00A66252">
        <w:rPr>
          <w:lang w:val="fr-FR"/>
        </w:rPr>
        <w:t>un titre en cours de validité. Les formalités varient selon la durée du séjour à l</w:t>
      </w:r>
      <w:r w:rsidR="00A66252" w:rsidRPr="00A66252">
        <w:rPr>
          <w:lang w:val="fr-FR"/>
        </w:rPr>
        <w:t>’</w:t>
      </w:r>
      <w:r w:rsidR="00433276" w:rsidRPr="00A66252">
        <w:rPr>
          <w:lang w:val="fr-FR"/>
        </w:rPr>
        <w:t xml:space="preserve">étranger : </w:t>
      </w:r>
      <w:r w:rsidR="0089454C" w:rsidRPr="00A66252">
        <w:rPr>
          <w:lang w:val="fr-FR"/>
        </w:rPr>
        <w:t xml:space="preserve">dans le </w:t>
      </w:r>
      <w:r w:rsidR="00433276" w:rsidRPr="00A66252">
        <w:rPr>
          <w:lang w:val="fr-FR"/>
        </w:rPr>
        <w:t>cas d</w:t>
      </w:r>
      <w:r w:rsidR="00A66252" w:rsidRPr="00A66252">
        <w:rPr>
          <w:lang w:val="fr-FR"/>
        </w:rPr>
        <w:t>’</w:t>
      </w:r>
      <w:r w:rsidR="00433276" w:rsidRPr="00A66252">
        <w:rPr>
          <w:lang w:val="fr-FR"/>
        </w:rPr>
        <w:t>un séjour à l</w:t>
      </w:r>
      <w:r w:rsidR="00A66252" w:rsidRPr="00A66252">
        <w:rPr>
          <w:lang w:val="fr-FR"/>
        </w:rPr>
        <w:t>’</w:t>
      </w:r>
      <w:r w:rsidR="00433276" w:rsidRPr="00A66252">
        <w:rPr>
          <w:lang w:val="fr-FR"/>
        </w:rPr>
        <w:t>étranger de trois mois à un an, l</w:t>
      </w:r>
      <w:r w:rsidR="00A66252" w:rsidRPr="00A66252">
        <w:rPr>
          <w:lang w:val="fr-FR"/>
        </w:rPr>
        <w:t>’</w:t>
      </w:r>
      <w:r w:rsidR="00433276" w:rsidRPr="00A66252">
        <w:rPr>
          <w:lang w:val="fr-FR"/>
        </w:rPr>
        <w:t xml:space="preserve">étranger </w:t>
      </w:r>
      <w:r w:rsidR="00683007" w:rsidRPr="00A66252">
        <w:rPr>
          <w:lang w:val="fr-FR"/>
        </w:rPr>
        <w:t>doit</w:t>
      </w:r>
      <w:r w:rsidR="0089454C" w:rsidRPr="00A66252">
        <w:rPr>
          <w:lang w:val="fr-FR"/>
        </w:rPr>
        <w:t xml:space="preserve"> </w:t>
      </w:r>
      <w:r w:rsidR="00433276" w:rsidRPr="00A66252">
        <w:rPr>
          <w:lang w:val="fr-FR"/>
        </w:rPr>
        <w:t>se présenter à l</w:t>
      </w:r>
      <w:r w:rsidR="00A66252" w:rsidRPr="00A66252">
        <w:rPr>
          <w:lang w:val="fr-FR"/>
        </w:rPr>
        <w:t>’</w:t>
      </w:r>
      <w:r w:rsidR="00433276" w:rsidRPr="00A66252">
        <w:rPr>
          <w:lang w:val="fr-FR"/>
        </w:rPr>
        <w:t>administration communale avant le départ et dans les quinze jours qui suivent son retour, sous peine d</w:t>
      </w:r>
      <w:r w:rsidR="00A66252" w:rsidRPr="00A66252">
        <w:rPr>
          <w:lang w:val="fr-FR"/>
        </w:rPr>
        <w:t>’</w:t>
      </w:r>
      <w:r w:rsidR="00433276" w:rsidRPr="00A66252">
        <w:rPr>
          <w:lang w:val="fr-FR"/>
        </w:rPr>
        <w:t>être rayé d</w:t>
      </w:r>
      <w:r w:rsidR="00A66252" w:rsidRPr="00A66252">
        <w:rPr>
          <w:lang w:val="fr-FR"/>
        </w:rPr>
        <w:t>’</w:t>
      </w:r>
      <w:r w:rsidR="00B97583" w:rsidRPr="00A66252">
        <w:rPr>
          <w:lang w:val="fr-FR"/>
        </w:rPr>
        <w:t xml:space="preserve">office des registres </w:t>
      </w:r>
      <w:r w:rsidR="00433276" w:rsidRPr="00A66252">
        <w:rPr>
          <w:lang w:val="fr-FR"/>
        </w:rPr>
        <w:t>de la commune; en cas de séjour de plus d</w:t>
      </w:r>
      <w:r w:rsidR="00A66252" w:rsidRPr="00A66252">
        <w:rPr>
          <w:lang w:val="fr-FR"/>
        </w:rPr>
        <w:t>’</w:t>
      </w:r>
      <w:r w:rsidR="00433276" w:rsidRPr="00A66252">
        <w:rPr>
          <w:lang w:val="fr-FR"/>
        </w:rPr>
        <w:t>un an, l</w:t>
      </w:r>
      <w:r w:rsidR="00A66252" w:rsidRPr="00A66252">
        <w:rPr>
          <w:lang w:val="fr-FR"/>
        </w:rPr>
        <w:t>’</w:t>
      </w:r>
      <w:r w:rsidR="00433276" w:rsidRPr="00A66252">
        <w:rPr>
          <w:lang w:val="fr-FR"/>
        </w:rPr>
        <w:t>étranger perd son droit au séjour à moins qu</w:t>
      </w:r>
      <w:r w:rsidR="00A66252" w:rsidRPr="00A66252">
        <w:rPr>
          <w:lang w:val="fr-FR"/>
        </w:rPr>
        <w:t>’</w:t>
      </w:r>
      <w:r w:rsidR="00433276" w:rsidRPr="00A66252">
        <w:rPr>
          <w:lang w:val="fr-FR"/>
        </w:rPr>
        <w:t>il ne démontre avant le départ qu</w:t>
      </w:r>
      <w:r w:rsidR="00A66252" w:rsidRPr="00A66252">
        <w:rPr>
          <w:lang w:val="fr-FR"/>
        </w:rPr>
        <w:t>’</w:t>
      </w:r>
      <w:r w:rsidR="00433276" w:rsidRPr="00A66252">
        <w:rPr>
          <w:lang w:val="fr-FR"/>
        </w:rPr>
        <w:t>il conserve en Belgique le centre de ses intérêts et qu</w:t>
      </w:r>
      <w:r w:rsidR="00A66252" w:rsidRPr="00A66252">
        <w:rPr>
          <w:lang w:val="fr-FR"/>
        </w:rPr>
        <w:t>’</w:t>
      </w:r>
      <w:r w:rsidR="00433276" w:rsidRPr="00A66252">
        <w:rPr>
          <w:lang w:val="fr-FR"/>
        </w:rPr>
        <w:t>il ait informé l</w:t>
      </w:r>
      <w:r w:rsidR="00A66252" w:rsidRPr="00A66252">
        <w:rPr>
          <w:lang w:val="fr-FR"/>
        </w:rPr>
        <w:t>’</w:t>
      </w:r>
      <w:r w:rsidR="00433276" w:rsidRPr="00A66252">
        <w:rPr>
          <w:lang w:val="fr-FR"/>
        </w:rPr>
        <w:t>administration communale du lieu de sa résidence habituelle de son intention de quitter le pays et d</w:t>
      </w:r>
      <w:r w:rsidR="00A66252" w:rsidRPr="00A66252">
        <w:rPr>
          <w:lang w:val="fr-FR"/>
        </w:rPr>
        <w:t>’</w:t>
      </w:r>
      <w:r w:rsidR="00433276" w:rsidRPr="00A66252">
        <w:rPr>
          <w:lang w:val="fr-FR"/>
        </w:rPr>
        <w:t>y revenir. Il doit également être en possession, au moment du retour, d</w:t>
      </w:r>
      <w:r w:rsidR="00A66252" w:rsidRPr="00A66252">
        <w:rPr>
          <w:lang w:val="fr-FR"/>
        </w:rPr>
        <w:t>’</w:t>
      </w:r>
      <w:r w:rsidR="00433276" w:rsidRPr="00A66252">
        <w:rPr>
          <w:lang w:val="fr-FR"/>
        </w:rPr>
        <w:t>un titre de séjour valable et se présenter à l</w:t>
      </w:r>
      <w:r w:rsidR="00A66252" w:rsidRPr="00A66252">
        <w:rPr>
          <w:lang w:val="fr-FR"/>
        </w:rPr>
        <w:t>’</w:t>
      </w:r>
      <w:r w:rsidR="00433276" w:rsidRPr="00A66252">
        <w:rPr>
          <w:lang w:val="fr-FR"/>
        </w:rPr>
        <w:t>administration communale dans les quinze jours qui suivent son retour.</w:t>
      </w:r>
    </w:p>
    <w:p w:rsidR="00433276" w:rsidRPr="00A66252" w:rsidRDefault="00433276" w:rsidP="00A66252">
      <w:pPr>
        <w:pStyle w:val="ECHRHeading2"/>
        <w:rPr>
          <w:lang w:val="fr-FR"/>
        </w:rPr>
      </w:pPr>
      <w:r w:rsidRPr="00A66252">
        <w:rPr>
          <w:lang w:val="fr-FR"/>
        </w:rPr>
        <w:t>C.</w:t>
      </w:r>
      <w:r w:rsidR="00EE05A3" w:rsidRPr="00A66252">
        <w:rPr>
          <w:lang w:val="fr-FR"/>
        </w:rPr>
        <w:t>  </w:t>
      </w:r>
      <w:r w:rsidRPr="00A66252">
        <w:rPr>
          <w:lang w:val="fr-FR"/>
        </w:rPr>
        <w:t>L</w:t>
      </w:r>
      <w:r w:rsidR="00A66252" w:rsidRPr="00A66252">
        <w:rPr>
          <w:lang w:val="fr-FR"/>
        </w:rPr>
        <w:t>’</w:t>
      </w:r>
      <w:r w:rsidRPr="00A66252">
        <w:rPr>
          <w:lang w:val="fr-FR"/>
        </w:rPr>
        <w:t>appréciation de la Cour</w:t>
      </w:r>
    </w:p>
    <w:p w:rsidR="00433276" w:rsidRPr="00A66252" w:rsidRDefault="00317797" w:rsidP="00A66252">
      <w:pPr>
        <w:pStyle w:val="ECHRPara"/>
        <w:rPr>
          <w:szCs w:val="24"/>
          <w:lang w:val="fr-FR"/>
        </w:rPr>
      </w:pPr>
      <w:r w:rsidRPr="00A66252">
        <w:rPr>
          <w:szCs w:val="24"/>
        </w:rPr>
        <w:fldChar w:fldCharType="begin"/>
      </w:r>
      <w:r w:rsidRPr="00A66252">
        <w:rPr>
          <w:szCs w:val="24"/>
          <w:lang w:val="fr-FR"/>
        </w:rPr>
        <w:instrText xml:space="preserve"> SEQ level0 \*arabic </w:instrText>
      </w:r>
      <w:r w:rsidRPr="00A66252">
        <w:rPr>
          <w:szCs w:val="24"/>
        </w:rPr>
        <w:fldChar w:fldCharType="separate"/>
      </w:r>
      <w:r w:rsidR="00A66252" w:rsidRPr="00A66252">
        <w:rPr>
          <w:noProof/>
          <w:szCs w:val="24"/>
          <w:lang w:val="fr-FR"/>
        </w:rPr>
        <w:t>221</w:t>
      </w:r>
      <w:r w:rsidRPr="00A66252">
        <w:rPr>
          <w:szCs w:val="24"/>
        </w:rPr>
        <w:fldChar w:fldCharType="end"/>
      </w:r>
      <w:r w:rsidRPr="00A66252">
        <w:rPr>
          <w:szCs w:val="24"/>
          <w:lang w:val="fr-FR"/>
        </w:rPr>
        <w:t>.  </w:t>
      </w:r>
      <w:r w:rsidR="00433276" w:rsidRPr="00A66252">
        <w:rPr>
          <w:szCs w:val="24"/>
          <w:lang w:val="fr-FR"/>
        </w:rPr>
        <w:t>En ce qui concerne l</w:t>
      </w:r>
      <w:r w:rsidR="00A66252" w:rsidRPr="00A66252">
        <w:rPr>
          <w:szCs w:val="24"/>
          <w:lang w:val="fr-FR"/>
        </w:rPr>
        <w:t>’</w:t>
      </w:r>
      <w:r w:rsidR="00433276" w:rsidRPr="00A66252">
        <w:rPr>
          <w:szCs w:val="24"/>
          <w:lang w:val="fr-FR"/>
        </w:rPr>
        <w:t>applicabilité de l</w:t>
      </w:r>
      <w:r w:rsidR="00A66252" w:rsidRPr="00A66252">
        <w:rPr>
          <w:szCs w:val="24"/>
          <w:lang w:val="fr-FR"/>
        </w:rPr>
        <w:t>’</w:t>
      </w:r>
      <w:r w:rsidR="00433276" w:rsidRPr="00A66252">
        <w:rPr>
          <w:szCs w:val="24"/>
          <w:lang w:val="fr-FR"/>
        </w:rPr>
        <w:t>article 8 et l</w:t>
      </w:r>
      <w:r w:rsidR="00A66252" w:rsidRPr="00A66252">
        <w:rPr>
          <w:szCs w:val="24"/>
          <w:lang w:val="fr-FR"/>
        </w:rPr>
        <w:t>’</w:t>
      </w:r>
      <w:r w:rsidR="00433276" w:rsidRPr="00A66252">
        <w:rPr>
          <w:szCs w:val="24"/>
          <w:lang w:val="fr-FR"/>
        </w:rPr>
        <w:t>angle d</w:t>
      </w:r>
      <w:r w:rsidR="00A66252" w:rsidRPr="00A66252">
        <w:rPr>
          <w:szCs w:val="24"/>
          <w:lang w:val="fr-FR"/>
        </w:rPr>
        <w:t>’</w:t>
      </w:r>
      <w:r w:rsidR="00433276" w:rsidRPr="00A66252">
        <w:rPr>
          <w:szCs w:val="24"/>
          <w:lang w:val="fr-FR"/>
        </w:rPr>
        <w:t>examen, la Grande Chambre part des mêmes postulats que la chambre (§§ 136-138 de l</w:t>
      </w:r>
      <w:r w:rsidR="00A66252" w:rsidRPr="00A66252">
        <w:rPr>
          <w:szCs w:val="24"/>
          <w:lang w:val="fr-FR"/>
        </w:rPr>
        <w:t>’</w:t>
      </w:r>
      <w:r w:rsidR="00433276" w:rsidRPr="00A66252">
        <w:rPr>
          <w:szCs w:val="24"/>
          <w:lang w:val="fr-FR"/>
        </w:rPr>
        <w:t>arrêt</w:t>
      </w:r>
      <w:r w:rsidR="008B441B" w:rsidRPr="00A66252">
        <w:rPr>
          <w:szCs w:val="24"/>
          <w:lang w:val="fr-FR"/>
        </w:rPr>
        <w:t xml:space="preserve"> de la chambre</w:t>
      </w:r>
      <w:r w:rsidR="00433276" w:rsidRPr="00A66252">
        <w:rPr>
          <w:szCs w:val="24"/>
          <w:lang w:val="fr-FR"/>
        </w:rPr>
        <w:t>).</w:t>
      </w:r>
      <w:r w:rsidR="00B97583" w:rsidRPr="00A66252">
        <w:rPr>
          <w:szCs w:val="24"/>
          <w:lang w:val="fr-FR"/>
        </w:rPr>
        <w:t xml:space="preserve"> </w:t>
      </w:r>
      <w:r w:rsidR="00433276" w:rsidRPr="00A66252">
        <w:rPr>
          <w:szCs w:val="24"/>
          <w:lang w:val="fr-FR"/>
        </w:rPr>
        <w:t>Tout d</w:t>
      </w:r>
      <w:r w:rsidR="00A66252" w:rsidRPr="00A66252">
        <w:rPr>
          <w:szCs w:val="24"/>
          <w:lang w:val="fr-FR"/>
        </w:rPr>
        <w:t>’</w:t>
      </w:r>
      <w:r w:rsidR="00433276" w:rsidRPr="00A66252">
        <w:rPr>
          <w:szCs w:val="24"/>
          <w:lang w:val="fr-FR"/>
        </w:rPr>
        <w:t xml:space="preserve">abord, il </w:t>
      </w:r>
      <w:r w:rsidR="00683007" w:rsidRPr="00A66252">
        <w:rPr>
          <w:szCs w:val="24"/>
          <w:lang w:val="fr-FR"/>
        </w:rPr>
        <w:t>n</w:t>
      </w:r>
      <w:r w:rsidR="00A66252" w:rsidRPr="00A66252">
        <w:rPr>
          <w:szCs w:val="24"/>
          <w:lang w:val="fr-FR"/>
        </w:rPr>
        <w:t>’</w:t>
      </w:r>
      <w:r w:rsidR="00CC7DE1" w:rsidRPr="00A66252">
        <w:rPr>
          <w:szCs w:val="24"/>
          <w:lang w:val="fr-FR"/>
        </w:rPr>
        <w:t>est</w:t>
      </w:r>
      <w:r w:rsidR="00683007" w:rsidRPr="00A66252">
        <w:rPr>
          <w:szCs w:val="24"/>
          <w:lang w:val="fr-FR"/>
        </w:rPr>
        <w:t xml:space="preserve"> </w:t>
      </w:r>
      <w:r w:rsidR="00433276" w:rsidRPr="00A66252">
        <w:rPr>
          <w:szCs w:val="24"/>
          <w:lang w:val="fr-FR"/>
        </w:rPr>
        <w:t>pas contesté qu</w:t>
      </w:r>
      <w:r w:rsidR="00A66252" w:rsidRPr="00A66252">
        <w:rPr>
          <w:szCs w:val="24"/>
          <w:lang w:val="fr-FR"/>
        </w:rPr>
        <w:t>’</w:t>
      </w:r>
      <w:r w:rsidR="00433276" w:rsidRPr="00A66252">
        <w:rPr>
          <w:szCs w:val="24"/>
          <w:lang w:val="fr-FR"/>
        </w:rPr>
        <w:t>il exist</w:t>
      </w:r>
      <w:r w:rsidR="00683007" w:rsidRPr="00A66252">
        <w:rPr>
          <w:szCs w:val="24"/>
          <w:lang w:val="fr-FR"/>
        </w:rPr>
        <w:t>ait</w:t>
      </w:r>
      <w:r w:rsidR="00433276" w:rsidRPr="00A66252">
        <w:rPr>
          <w:szCs w:val="24"/>
          <w:lang w:val="fr-FR"/>
        </w:rPr>
        <w:t xml:space="preserve"> une vie familiale entre le requérant, son épouse et les enfants nés en Belgique, rendant sans pertinence la controverse quant à la paternité du requérant vis-à-vis de l</w:t>
      </w:r>
      <w:r w:rsidR="00A66252" w:rsidRPr="00A66252">
        <w:rPr>
          <w:szCs w:val="24"/>
          <w:lang w:val="fr-FR"/>
        </w:rPr>
        <w:t>’</w:t>
      </w:r>
      <w:r w:rsidR="00433276" w:rsidRPr="00A66252">
        <w:rPr>
          <w:szCs w:val="24"/>
          <w:lang w:val="fr-FR"/>
        </w:rPr>
        <w:t>enfant qui est née avant leur arrivée en Belgique et a, depuis, atteint l</w:t>
      </w:r>
      <w:r w:rsidR="00A66252" w:rsidRPr="00A66252">
        <w:rPr>
          <w:szCs w:val="24"/>
          <w:lang w:val="fr-FR"/>
        </w:rPr>
        <w:t>’</w:t>
      </w:r>
      <w:r w:rsidR="00433276" w:rsidRPr="00A66252">
        <w:rPr>
          <w:szCs w:val="24"/>
          <w:lang w:val="fr-FR"/>
        </w:rPr>
        <w:t>âge adulte (</w:t>
      </w:r>
      <w:r w:rsidR="008B441B" w:rsidRPr="00A66252">
        <w:rPr>
          <w:i/>
          <w:szCs w:val="24"/>
          <w:lang w:val="fr-FR"/>
        </w:rPr>
        <w:t>ibidem</w:t>
      </w:r>
      <w:r w:rsidR="008B441B" w:rsidRPr="00A66252">
        <w:rPr>
          <w:szCs w:val="24"/>
          <w:lang w:val="fr-FR"/>
        </w:rPr>
        <w:t xml:space="preserve">, </w:t>
      </w:r>
      <w:r w:rsidR="00433276" w:rsidRPr="00A66252">
        <w:rPr>
          <w:szCs w:val="24"/>
          <w:lang w:val="fr-FR"/>
        </w:rPr>
        <w:t xml:space="preserve">§ 136). De plus, à supposer que la mesure de renvoi </w:t>
      </w:r>
      <w:r w:rsidR="00683007" w:rsidRPr="00A66252">
        <w:rPr>
          <w:szCs w:val="24"/>
          <w:lang w:val="fr-FR"/>
        </w:rPr>
        <w:t xml:space="preserve">ait pu </w:t>
      </w:r>
      <w:r w:rsidR="00433276" w:rsidRPr="00A66252">
        <w:rPr>
          <w:szCs w:val="24"/>
          <w:lang w:val="fr-FR"/>
        </w:rPr>
        <w:t>être examinée sous l</w:t>
      </w:r>
      <w:r w:rsidR="00A66252" w:rsidRPr="00A66252">
        <w:rPr>
          <w:szCs w:val="24"/>
          <w:lang w:val="fr-FR"/>
        </w:rPr>
        <w:t>’</w:t>
      </w:r>
      <w:r w:rsidR="00433276" w:rsidRPr="00A66252">
        <w:rPr>
          <w:szCs w:val="24"/>
          <w:lang w:val="fr-FR"/>
        </w:rPr>
        <w:t>angle de la vie privée du requérant, eu égard aux questions particulières posées par l</w:t>
      </w:r>
      <w:r w:rsidR="00A66252" w:rsidRPr="00A66252">
        <w:rPr>
          <w:szCs w:val="24"/>
          <w:lang w:val="fr-FR"/>
        </w:rPr>
        <w:t>’</w:t>
      </w:r>
      <w:r w:rsidR="00433276" w:rsidRPr="00A66252">
        <w:rPr>
          <w:szCs w:val="24"/>
          <w:lang w:val="fr-FR"/>
        </w:rPr>
        <w:t>espèce et aux arguments développés par les parties, c</w:t>
      </w:r>
      <w:r w:rsidR="00A66252" w:rsidRPr="00A66252">
        <w:rPr>
          <w:szCs w:val="24"/>
          <w:lang w:val="fr-FR"/>
        </w:rPr>
        <w:t>’</w:t>
      </w:r>
      <w:r w:rsidR="00433276" w:rsidRPr="00A66252">
        <w:rPr>
          <w:szCs w:val="24"/>
          <w:lang w:val="fr-FR"/>
        </w:rPr>
        <w:t>est le volet « vie familiale » qui l</w:t>
      </w:r>
      <w:r w:rsidR="00A66252" w:rsidRPr="00A66252">
        <w:rPr>
          <w:szCs w:val="24"/>
          <w:lang w:val="fr-FR"/>
        </w:rPr>
        <w:t>’</w:t>
      </w:r>
      <w:r w:rsidR="00B97583" w:rsidRPr="00A66252">
        <w:rPr>
          <w:szCs w:val="24"/>
          <w:lang w:val="fr-FR"/>
        </w:rPr>
        <w:t xml:space="preserve">emporte. </w:t>
      </w:r>
      <w:r w:rsidR="00433276" w:rsidRPr="00A66252">
        <w:rPr>
          <w:szCs w:val="24"/>
          <w:lang w:val="fr-FR"/>
        </w:rPr>
        <w:t>Ensuite, si l</w:t>
      </w:r>
      <w:r w:rsidR="00A66252" w:rsidRPr="00A66252">
        <w:rPr>
          <w:szCs w:val="24"/>
          <w:lang w:val="fr-FR"/>
        </w:rPr>
        <w:t>’</w:t>
      </w:r>
      <w:r w:rsidR="00433276" w:rsidRPr="00A66252">
        <w:rPr>
          <w:szCs w:val="24"/>
          <w:lang w:val="fr-FR"/>
        </w:rPr>
        <w:t>affaire concerne à la fois le refus par les autorités nationales d</w:t>
      </w:r>
      <w:r w:rsidR="00A66252" w:rsidRPr="00A66252">
        <w:rPr>
          <w:szCs w:val="24"/>
          <w:lang w:val="fr-FR"/>
        </w:rPr>
        <w:t>’</w:t>
      </w:r>
      <w:r w:rsidR="00433276" w:rsidRPr="00A66252">
        <w:rPr>
          <w:szCs w:val="24"/>
          <w:lang w:val="fr-FR"/>
        </w:rPr>
        <w:t>autoriser le requérant à résider en Belgique et la menace de le renvoyer en Géorgie, vu les particularités de l</w:t>
      </w:r>
      <w:r w:rsidR="00A66252" w:rsidRPr="00A66252">
        <w:rPr>
          <w:szCs w:val="24"/>
          <w:lang w:val="fr-FR"/>
        </w:rPr>
        <w:t>’</w:t>
      </w:r>
      <w:r w:rsidR="00433276" w:rsidRPr="00A66252">
        <w:rPr>
          <w:szCs w:val="24"/>
          <w:lang w:val="fr-FR"/>
        </w:rPr>
        <w:t xml:space="preserve">affaire et ses récents </w:t>
      </w:r>
      <w:r w:rsidR="00433276" w:rsidRPr="00A66252">
        <w:rPr>
          <w:szCs w:val="24"/>
          <w:lang w:val="fr-FR"/>
        </w:rPr>
        <w:lastRenderedPageBreak/>
        <w:t>développements, la chambre a considéré que la question centrale était celle de savoir si les autorités belges avaient l</w:t>
      </w:r>
      <w:r w:rsidR="00A66252" w:rsidRPr="00A66252">
        <w:rPr>
          <w:szCs w:val="24"/>
          <w:lang w:val="fr-FR"/>
        </w:rPr>
        <w:t>’</w:t>
      </w:r>
      <w:r w:rsidR="00433276" w:rsidRPr="00A66252">
        <w:rPr>
          <w:szCs w:val="24"/>
          <w:lang w:val="fr-FR"/>
        </w:rPr>
        <w:t>obligation d</w:t>
      </w:r>
      <w:r w:rsidR="00A66252" w:rsidRPr="00A66252">
        <w:rPr>
          <w:szCs w:val="24"/>
          <w:lang w:val="fr-FR"/>
        </w:rPr>
        <w:t>’</w:t>
      </w:r>
      <w:r w:rsidR="00433276" w:rsidRPr="00A66252">
        <w:rPr>
          <w:szCs w:val="24"/>
          <w:lang w:val="fr-FR"/>
        </w:rPr>
        <w:t>autoriser le requérant à séjourner en Belgique pour lui permettre de demeurer auprès de sa famille (</w:t>
      </w:r>
      <w:r w:rsidR="008B441B" w:rsidRPr="00A66252">
        <w:rPr>
          <w:i/>
          <w:szCs w:val="24"/>
          <w:lang w:val="fr-FR"/>
        </w:rPr>
        <w:t>ibidem</w:t>
      </w:r>
      <w:r w:rsidR="008B441B" w:rsidRPr="00A66252">
        <w:rPr>
          <w:szCs w:val="24"/>
          <w:lang w:val="fr-FR"/>
        </w:rPr>
        <w:t xml:space="preserve">, </w:t>
      </w:r>
      <w:r w:rsidR="00433276" w:rsidRPr="00A66252">
        <w:rPr>
          <w:szCs w:val="24"/>
          <w:lang w:val="fr-FR"/>
        </w:rPr>
        <w:t>§ 138). La Grande Chambre est d</w:t>
      </w:r>
      <w:r w:rsidR="00A66252" w:rsidRPr="00A66252">
        <w:rPr>
          <w:szCs w:val="24"/>
          <w:lang w:val="fr-FR"/>
        </w:rPr>
        <w:t>’</w:t>
      </w:r>
      <w:r w:rsidR="00433276" w:rsidRPr="00A66252">
        <w:rPr>
          <w:szCs w:val="24"/>
          <w:lang w:val="fr-FR"/>
        </w:rPr>
        <w:t>avis qu</w:t>
      </w:r>
      <w:r w:rsidR="00A66252" w:rsidRPr="00A66252">
        <w:rPr>
          <w:szCs w:val="24"/>
          <w:lang w:val="fr-FR"/>
        </w:rPr>
        <w:t>’</w:t>
      </w:r>
      <w:r w:rsidR="00433276" w:rsidRPr="00A66252">
        <w:rPr>
          <w:szCs w:val="24"/>
          <w:lang w:val="fr-FR"/>
        </w:rPr>
        <w:t xml:space="preserve">envisager ainsi le grief </w:t>
      </w:r>
      <w:r w:rsidRPr="00A66252">
        <w:rPr>
          <w:szCs w:val="24"/>
          <w:lang w:val="fr-FR"/>
        </w:rPr>
        <w:t>tiré d</w:t>
      </w:r>
      <w:r w:rsidR="00A66252" w:rsidRPr="00A66252">
        <w:rPr>
          <w:szCs w:val="24"/>
          <w:lang w:val="fr-FR"/>
        </w:rPr>
        <w:t>’</w:t>
      </w:r>
      <w:r w:rsidRPr="00A66252">
        <w:rPr>
          <w:szCs w:val="24"/>
          <w:lang w:val="fr-FR"/>
        </w:rPr>
        <w:t>une violation de l</w:t>
      </w:r>
      <w:r w:rsidR="00A66252" w:rsidRPr="00A66252">
        <w:rPr>
          <w:szCs w:val="24"/>
          <w:lang w:val="fr-FR"/>
        </w:rPr>
        <w:t>’</w:t>
      </w:r>
      <w:r w:rsidR="00433276" w:rsidRPr="00A66252">
        <w:rPr>
          <w:szCs w:val="24"/>
          <w:lang w:val="fr-FR"/>
        </w:rPr>
        <w:t>article 8 sous l</w:t>
      </w:r>
      <w:r w:rsidR="00A66252" w:rsidRPr="00A66252">
        <w:rPr>
          <w:szCs w:val="24"/>
          <w:lang w:val="fr-FR"/>
        </w:rPr>
        <w:t>’</w:t>
      </w:r>
      <w:r w:rsidR="00433276" w:rsidRPr="00A66252">
        <w:rPr>
          <w:szCs w:val="24"/>
          <w:lang w:val="fr-FR"/>
        </w:rPr>
        <w:t>angle des obligations positives des autorités belges s</w:t>
      </w:r>
      <w:r w:rsidR="00A66252" w:rsidRPr="00A66252">
        <w:rPr>
          <w:szCs w:val="24"/>
          <w:lang w:val="fr-FR"/>
        </w:rPr>
        <w:t>’</w:t>
      </w:r>
      <w:r w:rsidR="00433276" w:rsidRPr="00A66252">
        <w:rPr>
          <w:szCs w:val="24"/>
          <w:lang w:val="fr-FR"/>
        </w:rPr>
        <w:t>impos</w:t>
      </w:r>
      <w:r w:rsidR="007C1214" w:rsidRPr="00A66252">
        <w:rPr>
          <w:szCs w:val="24"/>
          <w:lang w:val="fr-FR"/>
        </w:rPr>
        <w:t>e</w:t>
      </w:r>
      <w:r w:rsidR="00433276" w:rsidRPr="00A66252">
        <w:rPr>
          <w:szCs w:val="24"/>
          <w:lang w:val="fr-FR"/>
        </w:rPr>
        <w:t xml:space="preserve"> de manière plus évidente encore en raison de l</w:t>
      </w:r>
      <w:r w:rsidR="00A66252" w:rsidRPr="00A66252">
        <w:rPr>
          <w:szCs w:val="24"/>
          <w:lang w:val="fr-FR"/>
        </w:rPr>
        <w:t>’</w:t>
      </w:r>
      <w:r w:rsidR="00433276" w:rsidRPr="00A66252">
        <w:rPr>
          <w:szCs w:val="24"/>
          <w:lang w:val="fr-FR"/>
        </w:rPr>
        <w:t>évolution de l</w:t>
      </w:r>
      <w:r w:rsidR="00A66252" w:rsidRPr="00A66252">
        <w:rPr>
          <w:szCs w:val="24"/>
          <w:lang w:val="fr-FR"/>
        </w:rPr>
        <w:t>’</w:t>
      </w:r>
      <w:r w:rsidR="00433276" w:rsidRPr="00A66252">
        <w:rPr>
          <w:szCs w:val="24"/>
          <w:lang w:val="fr-FR"/>
        </w:rPr>
        <w:t>affaire et en particulier de la détérioration de l</w:t>
      </w:r>
      <w:r w:rsidR="00A66252" w:rsidRPr="00A66252">
        <w:rPr>
          <w:szCs w:val="24"/>
          <w:lang w:val="fr-FR"/>
        </w:rPr>
        <w:t>’</w:t>
      </w:r>
      <w:r w:rsidR="00433276" w:rsidRPr="00A66252">
        <w:rPr>
          <w:szCs w:val="24"/>
          <w:lang w:val="fr-FR"/>
        </w:rPr>
        <w:t>état de santé du requérant</w:t>
      </w:r>
      <w:r w:rsidR="00683007" w:rsidRPr="00A66252">
        <w:rPr>
          <w:szCs w:val="24"/>
          <w:lang w:val="fr-FR"/>
        </w:rPr>
        <w:t xml:space="preserve"> et finalement de son décès</w:t>
      </w:r>
      <w:r w:rsidR="00433276" w:rsidRPr="00A66252">
        <w:rPr>
          <w:szCs w:val="24"/>
          <w:lang w:val="fr-FR"/>
        </w:rPr>
        <w:t>. Enfin, la Grande Chambre rappelle que, sur le terrain des obligations positives comme sur celui des obligations négatives, l</w:t>
      </w:r>
      <w:r w:rsidR="00A66252" w:rsidRPr="00A66252">
        <w:rPr>
          <w:szCs w:val="24"/>
          <w:lang w:val="fr-FR"/>
        </w:rPr>
        <w:t>’</w:t>
      </w:r>
      <w:r w:rsidR="00433276" w:rsidRPr="00A66252">
        <w:rPr>
          <w:szCs w:val="24"/>
          <w:lang w:val="fr-FR"/>
        </w:rPr>
        <w:t>État doit ménager un juste équilibre entre les intérêts concurrents de l</w:t>
      </w:r>
      <w:r w:rsidR="00A66252" w:rsidRPr="00A66252">
        <w:rPr>
          <w:szCs w:val="24"/>
          <w:lang w:val="fr-FR"/>
        </w:rPr>
        <w:t>’</w:t>
      </w:r>
      <w:r w:rsidR="00433276" w:rsidRPr="00A66252">
        <w:rPr>
          <w:szCs w:val="24"/>
          <w:lang w:val="fr-FR"/>
        </w:rPr>
        <w:t xml:space="preserve">individu et de la société dans son ensemble, et que </w:t>
      </w:r>
      <w:r w:rsidR="00E47236" w:rsidRPr="00A66252">
        <w:rPr>
          <w:szCs w:val="24"/>
          <w:lang w:val="fr-FR"/>
        </w:rPr>
        <w:t>l</w:t>
      </w:r>
      <w:r w:rsidR="00A66252" w:rsidRPr="00A66252">
        <w:rPr>
          <w:szCs w:val="24"/>
          <w:lang w:val="fr-FR"/>
        </w:rPr>
        <w:t>’</w:t>
      </w:r>
      <w:r w:rsidR="00433276" w:rsidRPr="00A66252">
        <w:rPr>
          <w:rFonts w:ascii="Cambria" w:hAnsi="Cambria" w:cs="Cambria"/>
          <w:szCs w:val="24"/>
          <w:lang w:val="fr-FR"/>
        </w:rPr>
        <w:t>é</w:t>
      </w:r>
      <w:r w:rsidR="00433276" w:rsidRPr="00A66252">
        <w:rPr>
          <w:szCs w:val="24"/>
          <w:lang w:val="fr-FR"/>
        </w:rPr>
        <w:t xml:space="preserve">tendue des obligations pour </w:t>
      </w:r>
      <w:r w:rsidR="00E47236" w:rsidRPr="00A66252">
        <w:rPr>
          <w:szCs w:val="24"/>
          <w:lang w:val="fr-FR"/>
        </w:rPr>
        <w:t>l</w:t>
      </w:r>
      <w:r w:rsidR="00A66252" w:rsidRPr="00A66252">
        <w:rPr>
          <w:szCs w:val="24"/>
          <w:lang w:val="fr-FR"/>
        </w:rPr>
        <w:t>’</w:t>
      </w:r>
      <w:r w:rsidR="00433276" w:rsidRPr="00A66252">
        <w:rPr>
          <w:rFonts w:ascii="Cambria" w:hAnsi="Cambria" w:cs="Cambria"/>
          <w:szCs w:val="24"/>
          <w:lang w:val="fr-FR"/>
        </w:rPr>
        <w:t>É</w:t>
      </w:r>
      <w:r w:rsidR="00433276" w:rsidRPr="00A66252">
        <w:rPr>
          <w:szCs w:val="24"/>
          <w:lang w:val="fr-FR"/>
        </w:rPr>
        <w:t>tat varie en fonction de la situation particulière des personnes concernées et de l</w:t>
      </w:r>
      <w:r w:rsidR="00A66252" w:rsidRPr="00A66252">
        <w:rPr>
          <w:szCs w:val="24"/>
          <w:lang w:val="fr-FR"/>
        </w:rPr>
        <w:t>’</w:t>
      </w:r>
      <w:r w:rsidR="00433276" w:rsidRPr="00A66252">
        <w:rPr>
          <w:szCs w:val="24"/>
          <w:lang w:val="fr-FR"/>
        </w:rPr>
        <w:t>intérêt général (</w:t>
      </w:r>
      <w:r w:rsidR="008B441B" w:rsidRPr="00A66252">
        <w:rPr>
          <w:i/>
          <w:szCs w:val="24"/>
          <w:lang w:val="fr-FR"/>
        </w:rPr>
        <w:t>ibidem</w:t>
      </w:r>
      <w:r w:rsidR="008B441B" w:rsidRPr="00A66252">
        <w:rPr>
          <w:szCs w:val="24"/>
          <w:lang w:val="fr-FR"/>
        </w:rPr>
        <w:t xml:space="preserve">, </w:t>
      </w:r>
      <w:r w:rsidR="00433276" w:rsidRPr="00A66252">
        <w:rPr>
          <w:szCs w:val="24"/>
          <w:lang w:val="fr-FR"/>
        </w:rPr>
        <w:t>§ 140, et références citées).</w:t>
      </w:r>
    </w:p>
    <w:p w:rsidR="00A66252" w:rsidRPr="00A66252" w:rsidRDefault="00317797"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222</w:t>
      </w:r>
      <w:r w:rsidRPr="00A66252">
        <w:rPr>
          <w:szCs w:val="24"/>
          <w:lang w:val="fr-FR"/>
        </w:rPr>
        <w:fldChar w:fldCharType="end"/>
      </w:r>
      <w:r w:rsidRPr="00A66252">
        <w:rPr>
          <w:szCs w:val="24"/>
          <w:lang w:val="fr-FR"/>
        </w:rPr>
        <w:t>.  </w:t>
      </w:r>
      <w:r w:rsidR="00433276" w:rsidRPr="00A66252">
        <w:rPr>
          <w:szCs w:val="24"/>
          <w:lang w:val="fr-FR"/>
        </w:rPr>
        <w:t xml:space="preserve">Cela étant, à la différence de la chambre, après avoir observé que les autorités belges </w:t>
      </w:r>
      <w:r w:rsidR="002C6262" w:rsidRPr="00A66252">
        <w:rPr>
          <w:szCs w:val="24"/>
          <w:lang w:val="fr-FR"/>
        </w:rPr>
        <w:t>n</w:t>
      </w:r>
      <w:r w:rsidR="00A66252" w:rsidRPr="00A66252">
        <w:rPr>
          <w:szCs w:val="24"/>
          <w:lang w:val="fr-FR"/>
        </w:rPr>
        <w:t>’</w:t>
      </w:r>
      <w:r w:rsidR="002C6262" w:rsidRPr="00A66252">
        <w:rPr>
          <w:szCs w:val="24"/>
          <w:lang w:val="fr-FR"/>
        </w:rPr>
        <w:t xml:space="preserve">ont </w:t>
      </w:r>
      <w:r w:rsidR="00433276" w:rsidRPr="00A66252">
        <w:rPr>
          <w:szCs w:val="24"/>
          <w:lang w:val="fr-FR"/>
        </w:rPr>
        <w:t>examiné les données médicales du requérant et l</w:t>
      </w:r>
      <w:r w:rsidR="00A66252" w:rsidRPr="00A66252">
        <w:rPr>
          <w:szCs w:val="24"/>
          <w:lang w:val="fr-FR"/>
        </w:rPr>
        <w:t>’</w:t>
      </w:r>
      <w:r w:rsidR="00433276" w:rsidRPr="00A66252">
        <w:rPr>
          <w:szCs w:val="24"/>
          <w:lang w:val="fr-FR"/>
        </w:rPr>
        <w:t>impact de son éloignement sur son état de santé dans aucune des procédures diligentées par lui, la Grande Chambre a conclu qu</w:t>
      </w:r>
      <w:r w:rsidR="00A66252" w:rsidRPr="00A66252">
        <w:rPr>
          <w:szCs w:val="24"/>
          <w:lang w:val="fr-FR"/>
        </w:rPr>
        <w:t>’</w:t>
      </w:r>
      <w:r w:rsidR="00433276" w:rsidRPr="00A66252">
        <w:rPr>
          <w:szCs w:val="24"/>
          <w:lang w:val="fr-FR"/>
        </w:rPr>
        <w:t xml:space="preserve">il y aurait </w:t>
      </w:r>
      <w:r w:rsidR="00683007" w:rsidRPr="00A66252">
        <w:rPr>
          <w:szCs w:val="24"/>
          <w:lang w:val="fr-FR"/>
        </w:rPr>
        <w:t xml:space="preserve">eu </w:t>
      </w:r>
      <w:r w:rsidR="00433276" w:rsidRPr="00A66252">
        <w:rPr>
          <w:szCs w:val="24"/>
          <w:lang w:val="fr-FR"/>
        </w:rPr>
        <w:t>violation de l</w:t>
      </w:r>
      <w:r w:rsidR="00A66252" w:rsidRPr="00A66252">
        <w:rPr>
          <w:szCs w:val="24"/>
          <w:lang w:val="fr-FR"/>
        </w:rPr>
        <w:t>’</w:t>
      </w:r>
      <w:r w:rsidR="00433276" w:rsidRPr="00A66252">
        <w:rPr>
          <w:szCs w:val="24"/>
          <w:lang w:val="fr-FR"/>
        </w:rPr>
        <w:t xml:space="preserve">article 3 de la Convention si le requérant </w:t>
      </w:r>
      <w:r w:rsidR="00683007" w:rsidRPr="00A66252">
        <w:rPr>
          <w:szCs w:val="24"/>
          <w:lang w:val="fr-FR"/>
        </w:rPr>
        <w:t xml:space="preserve">avait été </w:t>
      </w:r>
      <w:r w:rsidR="00CC7DE1" w:rsidRPr="00A66252">
        <w:rPr>
          <w:szCs w:val="24"/>
          <w:lang w:val="fr-FR"/>
        </w:rPr>
        <w:t>éloigné</w:t>
      </w:r>
      <w:r w:rsidR="00433276" w:rsidRPr="00A66252">
        <w:rPr>
          <w:szCs w:val="24"/>
          <w:lang w:val="fr-FR"/>
        </w:rPr>
        <w:t xml:space="preserve"> vers la Géorgie sans une telle évaluation (voir paragraphe</w:t>
      </w:r>
      <w:r w:rsidR="00070476" w:rsidRPr="00A66252">
        <w:rPr>
          <w:szCs w:val="24"/>
          <w:lang w:val="fr-FR"/>
        </w:rPr>
        <w:t xml:space="preserve"> </w:t>
      </w:r>
      <w:r w:rsidR="00070476" w:rsidRPr="00A66252">
        <w:rPr>
          <w:szCs w:val="24"/>
          <w:lang w:val="fr-FR"/>
        </w:rPr>
        <w:fldChar w:fldCharType="begin"/>
      </w:r>
      <w:r w:rsidR="00070476" w:rsidRPr="00A66252">
        <w:rPr>
          <w:szCs w:val="24"/>
          <w:lang w:val="fr-FR"/>
        </w:rPr>
        <w:instrText xml:space="preserve"> REF ART3CONCLFINE \h </w:instrText>
      </w:r>
      <w:r w:rsidR="0080142D" w:rsidRPr="00A66252">
        <w:rPr>
          <w:szCs w:val="24"/>
          <w:lang w:val="fr-FR"/>
        </w:rPr>
        <w:instrText xml:space="preserve"> \* MERGEFORMAT </w:instrText>
      </w:r>
      <w:r w:rsidR="00070476" w:rsidRPr="00A66252">
        <w:rPr>
          <w:szCs w:val="24"/>
          <w:lang w:val="fr-FR"/>
        </w:rPr>
      </w:r>
      <w:r w:rsidR="00070476" w:rsidRPr="00A66252">
        <w:rPr>
          <w:szCs w:val="24"/>
          <w:lang w:val="fr-FR"/>
        </w:rPr>
        <w:fldChar w:fldCharType="separate"/>
      </w:r>
      <w:r w:rsidR="00A66252" w:rsidRPr="00A66252">
        <w:rPr>
          <w:noProof/>
          <w:lang w:val="fr-FR"/>
        </w:rPr>
        <w:t>206</w:t>
      </w:r>
      <w:r w:rsidR="00070476" w:rsidRPr="00A66252">
        <w:rPr>
          <w:szCs w:val="24"/>
          <w:lang w:val="fr-FR"/>
        </w:rPr>
        <w:fldChar w:fldCharType="end"/>
      </w:r>
      <w:r w:rsidR="00433276" w:rsidRPr="00A66252">
        <w:rPr>
          <w:szCs w:val="24"/>
          <w:lang w:val="fr-FR"/>
        </w:rPr>
        <w:t>, ci-dessus).</w:t>
      </w:r>
    </w:p>
    <w:p w:rsidR="00433276" w:rsidRPr="00A66252" w:rsidRDefault="00317797"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223</w:t>
      </w:r>
      <w:r w:rsidRPr="00A66252">
        <w:rPr>
          <w:szCs w:val="24"/>
          <w:lang w:val="fr-FR"/>
        </w:rPr>
        <w:fldChar w:fldCharType="end"/>
      </w:r>
      <w:r w:rsidRPr="00A66252">
        <w:rPr>
          <w:szCs w:val="24"/>
          <w:lang w:val="fr-FR"/>
        </w:rPr>
        <w:t>.  </w:t>
      </w:r>
      <w:r w:rsidR="00433276" w:rsidRPr="00A66252">
        <w:rPr>
          <w:szCs w:val="24"/>
          <w:lang w:val="fr-FR"/>
        </w:rPr>
        <w:t xml:space="preserve">La Cour observe que les autorités belges </w:t>
      </w:r>
      <w:r w:rsidR="007C1214" w:rsidRPr="00A66252">
        <w:rPr>
          <w:szCs w:val="24"/>
          <w:lang w:val="fr-FR"/>
        </w:rPr>
        <w:t>n</w:t>
      </w:r>
      <w:r w:rsidR="00A66252" w:rsidRPr="00A66252">
        <w:rPr>
          <w:szCs w:val="24"/>
          <w:lang w:val="fr-FR"/>
        </w:rPr>
        <w:t>’</w:t>
      </w:r>
      <w:r w:rsidR="007C1214" w:rsidRPr="00A66252">
        <w:rPr>
          <w:szCs w:val="24"/>
          <w:lang w:val="fr-FR"/>
        </w:rPr>
        <w:t xml:space="preserve">ont </w:t>
      </w:r>
      <w:r w:rsidR="00433276" w:rsidRPr="00A66252">
        <w:rPr>
          <w:i/>
          <w:szCs w:val="24"/>
          <w:lang w:val="fr-FR"/>
        </w:rPr>
        <w:t>a fortiori</w:t>
      </w:r>
      <w:r w:rsidR="00433276" w:rsidRPr="00A66252">
        <w:rPr>
          <w:szCs w:val="24"/>
          <w:lang w:val="fr-FR"/>
        </w:rPr>
        <w:t xml:space="preserve"> pas non plus examiné, sous l</w:t>
      </w:r>
      <w:r w:rsidR="00A66252" w:rsidRPr="00A66252">
        <w:rPr>
          <w:szCs w:val="24"/>
          <w:lang w:val="fr-FR"/>
        </w:rPr>
        <w:t>’</w:t>
      </w:r>
      <w:r w:rsidR="00433276" w:rsidRPr="00A66252">
        <w:rPr>
          <w:szCs w:val="24"/>
          <w:lang w:val="fr-FR"/>
        </w:rPr>
        <w:t>angle de l</w:t>
      </w:r>
      <w:r w:rsidR="00A66252" w:rsidRPr="00A66252">
        <w:rPr>
          <w:szCs w:val="24"/>
          <w:lang w:val="fr-FR"/>
        </w:rPr>
        <w:t>’</w:t>
      </w:r>
      <w:r w:rsidR="00433276" w:rsidRPr="00A66252">
        <w:rPr>
          <w:szCs w:val="24"/>
          <w:lang w:val="fr-FR"/>
        </w:rPr>
        <w:t>article 8, le degré de dépendance à la famille que la dégradation de l</w:t>
      </w:r>
      <w:r w:rsidR="00A66252" w:rsidRPr="00A66252">
        <w:rPr>
          <w:szCs w:val="24"/>
          <w:lang w:val="fr-FR"/>
        </w:rPr>
        <w:t>’</w:t>
      </w:r>
      <w:r w:rsidR="00433276" w:rsidRPr="00A66252">
        <w:rPr>
          <w:szCs w:val="24"/>
          <w:lang w:val="fr-FR"/>
        </w:rPr>
        <w:t>état de santé a</w:t>
      </w:r>
      <w:r w:rsidR="00683007" w:rsidRPr="00A66252">
        <w:rPr>
          <w:szCs w:val="24"/>
          <w:lang w:val="fr-FR"/>
        </w:rPr>
        <w:t>vait</w:t>
      </w:r>
      <w:r w:rsidR="00433276" w:rsidRPr="00A66252">
        <w:rPr>
          <w:szCs w:val="24"/>
          <w:lang w:val="fr-FR"/>
        </w:rPr>
        <w:t xml:space="preserve"> induit dans le chef du requérant. Dans le cadre de la procédure en régularisation pour raison médicale, le CCE a en effet écarté le grief tiré par le requérant de l</w:t>
      </w:r>
      <w:r w:rsidR="00A66252" w:rsidRPr="00A66252">
        <w:rPr>
          <w:szCs w:val="24"/>
          <w:lang w:val="fr-FR"/>
        </w:rPr>
        <w:t>’</w:t>
      </w:r>
      <w:r w:rsidR="00433276" w:rsidRPr="00A66252">
        <w:rPr>
          <w:szCs w:val="24"/>
          <w:lang w:val="fr-FR"/>
        </w:rPr>
        <w:t>article 8 au motif que la décision de refus de séjour n</w:t>
      </w:r>
      <w:r w:rsidR="00A66252" w:rsidRPr="00A66252">
        <w:rPr>
          <w:szCs w:val="24"/>
          <w:lang w:val="fr-FR"/>
        </w:rPr>
        <w:t>’</w:t>
      </w:r>
      <w:r w:rsidR="00433276" w:rsidRPr="00A66252">
        <w:rPr>
          <w:szCs w:val="24"/>
          <w:lang w:val="fr-FR"/>
        </w:rPr>
        <w:t>était pas assortie d</w:t>
      </w:r>
      <w:r w:rsidR="00A66252" w:rsidRPr="00A66252">
        <w:rPr>
          <w:szCs w:val="24"/>
          <w:lang w:val="fr-FR"/>
        </w:rPr>
        <w:t>’</w:t>
      </w:r>
      <w:r w:rsidR="00433276" w:rsidRPr="00A66252">
        <w:rPr>
          <w:szCs w:val="24"/>
          <w:lang w:val="fr-FR"/>
        </w:rPr>
        <w:t>une mesure d</w:t>
      </w:r>
      <w:r w:rsidR="00A66252" w:rsidRPr="00A66252">
        <w:rPr>
          <w:szCs w:val="24"/>
          <w:lang w:val="fr-FR"/>
        </w:rPr>
        <w:t>’</w:t>
      </w:r>
      <w:r w:rsidR="00433276" w:rsidRPr="00A66252">
        <w:rPr>
          <w:szCs w:val="24"/>
          <w:lang w:val="fr-FR"/>
        </w:rPr>
        <w:t xml:space="preserve">éloignement du territoire (voir paragraphe </w:t>
      </w:r>
      <w:r w:rsidR="007A74D9" w:rsidRPr="00A66252">
        <w:rPr>
          <w:szCs w:val="24"/>
          <w:lang w:val="fr-FR"/>
        </w:rPr>
        <w:fldChar w:fldCharType="begin"/>
      </w:r>
      <w:r w:rsidR="007A74D9" w:rsidRPr="00A66252">
        <w:rPr>
          <w:szCs w:val="24"/>
          <w:lang w:val="fr-FR"/>
        </w:rPr>
        <w:instrText xml:space="preserve"> REF CCEART8 \h </w:instrText>
      </w:r>
      <w:r w:rsidR="0080142D" w:rsidRPr="00A66252">
        <w:rPr>
          <w:szCs w:val="24"/>
          <w:lang w:val="fr-FR"/>
        </w:rPr>
        <w:instrText xml:space="preserve"> \* MERGEFORMAT </w:instrText>
      </w:r>
      <w:r w:rsidR="007A74D9" w:rsidRPr="00A66252">
        <w:rPr>
          <w:szCs w:val="24"/>
          <w:lang w:val="fr-FR"/>
        </w:rPr>
      </w:r>
      <w:r w:rsidR="007A74D9" w:rsidRPr="00A66252">
        <w:rPr>
          <w:szCs w:val="24"/>
          <w:lang w:val="fr-FR"/>
        </w:rPr>
        <w:fldChar w:fldCharType="separate"/>
      </w:r>
      <w:r w:rsidR="00A66252" w:rsidRPr="00A66252">
        <w:rPr>
          <w:noProof/>
          <w:lang w:val="fr-FR"/>
        </w:rPr>
        <w:t>58</w:t>
      </w:r>
      <w:r w:rsidR="007A74D9" w:rsidRPr="00A66252">
        <w:rPr>
          <w:szCs w:val="24"/>
          <w:lang w:val="fr-FR"/>
        </w:rPr>
        <w:fldChar w:fldCharType="end"/>
      </w:r>
      <w:r w:rsidR="00433276" w:rsidRPr="00A66252">
        <w:rPr>
          <w:szCs w:val="24"/>
          <w:lang w:val="fr-FR"/>
        </w:rPr>
        <w:t>, ci-dessus).</w:t>
      </w:r>
    </w:p>
    <w:p w:rsidR="00433276" w:rsidRPr="00A66252" w:rsidRDefault="008D7232" w:rsidP="00A66252">
      <w:pPr>
        <w:pStyle w:val="ECHRPara"/>
        <w:rPr>
          <w:szCs w:val="24"/>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224</w:t>
      </w:r>
      <w:r w:rsidRPr="00A66252">
        <w:rPr>
          <w:szCs w:val="24"/>
          <w:lang w:val="fr-FR"/>
        </w:rPr>
        <w:fldChar w:fldCharType="end"/>
      </w:r>
      <w:r w:rsidRPr="00A66252">
        <w:rPr>
          <w:szCs w:val="24"/>
          <w:lang w:val="fr-FR"/>
        </w:rPr>
        <w:t>.  </w:t>
      </w:r>
      <w:r w:rsidR="00433276" w:rsidRPr="00A66252">
        <w:rPr>
          <w:szCs w:val="24"/>
          <w:lang w:val="fr-FR"/>
        </w:rPr>
        <w:t>Or, pas davantage que sur le terrain de l</w:t>
      </w:r>
      <w:r w:rsidR="00A66252" w:rsidRPr="00A66252">
        <w:rPr>
          <w:szCs w:val="24"/>
          <w:lang w:val="fr-FR"/>
        </w:rPr>
        <w:t>’</w:t>
      </w:r>
      <w:r w:rsidR="00433276" w:rsidRPr="00A66252">
        <w:rPr>
          <w:szCs w:val="24"/>
          <w:lang w:val="fr-FR"/>
        </w:rPr>
        <w:t xml:space="preserve">article 3, il ne </w:t>
      </w:r>
      <w:r w:rsidR="00683007" w:rsidRPr="00A66252">
        <w:rPr>
          <w:szCs w:val="24"/>
          <w:lang w:val="fr-FR"/>
        </w:rPr>
        <w:t>rev</w:t>
      </w:r>
      <w:r w:rsidR="002C6262" w:rsidRPr="00A66252">
        <w:rPr>
          <w:szCs w:val="24"/>
          <w:lang w:val="fr-FR"/>
        </w:rPr>
        <w:t xml:space="preserve">ient </w:t>
      </w:r>
      <w:r w:rsidR="00433276" w:rsidRPr="00A66252">
        <w:rPr>
          <w:szCs w:val="24"/>
          <w:lang w:val="fr-FR"/>
        </w:rPr>
        <w:t>à la Cour de procéder à une évaluation</w:t>
      </w:r>
      <w:r w:rsidR="00812B8B" w:rsidRPr="00A66252">
        <w:rPr>
          <w:szCs w:val="24"/>
          <w:lang w:val="fr-FR"/>
        </w:rPr>
        <w:t>, sous l</w:t>
      </w:r>
      <w:r w:rsidR="00A66252" w:rsidRPr="00A66252">
        <w:rPr>
          <w:szCs w:val="24"/>
          <w:lang w:val="fr-FR"/>
        </w:rPr>
        <w:t>’</w:t>
      </w:r>
      <w:r w:rsidR="00812B8B" w:rsidRPr="00A66252">
        <w:rPr>
          <w:szCs w:val="24"/>
          <w:lang w:val="fr-FR"/>
        </w:rPr>
        <w:t>angle de l</w:t>
      </w:r>
      <w:r w:rsidR="00A66252" w:rsidRPr="00A66252">
        <w:rPr>
          <w:szCs w:val="24"/>
          <w:lang w:val="fr-FR"/>
        </w:rPr>
        <w:t>’</w:t>
      </w:r>
      <w:r w:rsidR="00812B8B" w:rsidRPr="00A66252">
        <w:rPr>
          <w:szCs w:val="24"/>
          <w:lang w:val="fr-FR"/>
        </w:rPr>
        <w:t>article 8 de la Convention, de l</w:t>
      </w:r>
      <w:r w:rsidR="00A66252" w:rsidRPr="00A66252">
        <w:rPr>
          <w:szCs w:val="24"/>
          <w:lang w:val="fr-FR"/>
        </w:rPr>
        <w:t>’</w:t>
      </w:r>
      <w:r w:rsidR="00812B8B" w:rsidRPr="00A66252">
        <w:rPr>
          <w:szCs w:val="24"/>
          <w:lang w:val="fr-FR"/>
        </w:rPr>
        <w:t>impact de l</w:t>
      </w:r>
      <w:r w:rsidR="00A66252" w:rsidRPr="00A66252">
        <w:rPr>
          <w:szCs w:val="24"/>
          <w:lang w:val="fr-FR"/>
        </w:rPr>
        <w:t>’</w:t>
      </w:r>
      <w:r w:rsidR="00812B8B" w:rsidRPr="00A66252">
        <w:rPr>
          <w:szCs w:val="24"/>
          <w:lang w:val="fr-FR"/>
        </w:rPr>
        <w:t>éloignement sur la vie familiale du requérant, compte tenu de l</w:t>
      </w:r>
      <w:r w:rsidR="00A66252" w:rsidRPr="00A66252">
        <w:rPr>
          <w:szCs w:val="24"/>
          <w:lang w:val="fr-FR"/>
        </w:rPr>
        <w:t>’</w:t>
      </w:r>
      <w:r w:rsidR="00812B8B" w:rsidRPr="00A66252">
        <w:rPr>
          <w:szCs w:val="24"/>
          <w:lang w:val="fr-FR"/>
        </w:rPr>
        <w:t>état de santé de ce dernier</w:t>
      </w:r>
      <w:r w:rsidR="00433276" w:rsidRPr="00A66252">
        <w:rPr>
          <w:szCs w:val="24"/>
          <w:lang w:val="fr-FR"/>
        </w:rPr>
        <w:t>.</w:t>
      </w:r>
      <w:r w:rsidR="00B97583" w:rsidRPr="00A66252">
        <w:rPr>
          <w:szCs w:val="24"/>
          <w:lang w:val="fr-FR"/>
        </w:rPr>
        <w:t xml:space="preserve"> </w:t>
      </w:r>
      <w:r w:rsidR="00433276" w:rsidRPr="00A66252">
        <w:rPr>
          <w:szCs w:val="24"/>
          <w:lang w:val="fr-FR"/>
        </w:rPr>
        <w:t xml:space="preserve">À ce titre, la Cour considère que non seulement cette tâche </w:t>
      </w:r>
      <w:r w:rsidR="002C6262" w:rsidRPr="00A66252">
        <w:rPr>
          <w:szCs w:val="24"/>
          <w:lang w:val="fr-FR"/>
        </w:rPr>
        <w:t xml:space="preserve">appartient </w:t>
      </w:r>
      <w:r w:rsidR="00433276" w:rsidRPr="00A66252">
        <w:rPr>
          <w:szCs w:val="24"/>
          <w:lang w:val="fr-FR"/>
        </w:rPr>
        <w:t>aux autorités nationales, responsables en la matière, mais aussi qu</w:t>
      </w:r>
      <w:r w:rsidR="00A66252" w:rsidRPr="00A66252">
        <w:rPr>
          <w:szCs w:val="24"/>
          <w:lang w:val="fr-FR"/>
        </w:rPr>
        <w:t>’</w:t>
      </w:r>
      <w:r w:rsidR="00433276" w:rsidRPr="00A66252">
        <w:rPr>
          <w:szCs w:val="24"/>
          <w:lang w:val="fr-FR"/>
        </w:rPr>
        <w:t>il s</w:t>
      </w:r>
      <w:r w:rsidR="00A66252" w:rsidRPr="00A66252">
        <w:rPr>
          <w:szCs w:val="24"/>
          <w:lang w:val="fr-FR"/>
        </w:rPr>
        <w:t>’</w:t>
      </w:r>
      <w:r w:rsidR="00433276" w:rsidRPr="00A66252">
        <w:rPr>
          <w:szCs w:val="24"/>
          <w:lang w:val="fr-FR"/>
        </w:rPr>
        <w:t>agit d</w:t>
      </w:r>
      <w:r w:rsidR="00A66252" w:rsidRPr="00A66252">
        <w:rPr>
          <w:szCs w:val="24"/>
          <w:lang w:val="fr-FR"/>
        </w:rPr>
        <w:t>’</w:t>
      </w:r>
      <w:r w:rsidR="00433276" w:rsidRPr="00A66252">
        <w:rPr>
          <w:szCs w:val="24"/>
          <w:lang w:val="fr-FR"/>
        </w:rPr>
        <w:t xml:space="preserve">une obligation procédurale incombant </w:t>
      </w:r>
      <w:r w:rsidR="00E74D31" w:rsidRPr="00A66252">
        <w:rPr>
          <w:szCs w:val="24"/>
          <w:lang w:val="fr-FR"/>
        </w:rPr>
        <w:t xml:space="preserve">à ces </w:t>
      </w:r>
      <w:r w:rsidR="00433276" w:rsidRPr="00A66252">
        <w:rPr>
          <w:szCs w:val="24"/>
          <w:lang w:val="fr-FR"/>
        </w:rPr>
        <w:t>autorités pour assurer l</w:t>
      </w:r>
      <w:r w:rsidR="00A66252" w:rsidRPr="00A66252">
        <w:rPr>
          <w:szCs w:val="24"/>
          <w:lang w:val="fr-FR"/>
        </w:rPr>
        <w:t>’</w:t>
      </w:r>
      <w:r w:rsidR="00433276" w:rsidRPr="00A66252">
        <w:rPr>
          <w:szCs w:val="24"/>
          <w:lang w:val="fr-FR"/>
        </w:rPr>
        <w:t xml:space="preserve">effectivité du droit au respect de la vie familiale. </w:t>
      </w:r>
      <w:r w:rsidR="00317797" w:rsidRPr="00A66252">
        <w:rPr>
          <w:szCs w:val="24"/>
          <w:lang w:val="fr-FR"/>
        </w:rPr>
        <w:t>Comme elle l</w:t>
      </w:r>
      <w:r w:rsidR="00A66252" w:rsidRPr="00A66252">
        <w:rPr>
          <w:szCs w:val="24"/>
          <w:lang w:val="fr-FR"/>
        </w:rPr>
        <w:t>’</w:t>
      </w:r>
      <w:r w:rsidR="00317797" w:rsidRPr="00A66252">
        <w:rPr>
          <w:szCs w:val="24"/>
          <w:lang w:val="fr-FR"/>
        </w:rPr>
        <w:t xml:space="preserve">a rappelé ci-dessus (voir paragraphe </w:t>
      </w:r>
      <w:r w:rsidR="005D4AB7" w:rsidRPr="00A66252">
        <w:rPr>
          <w:szCs w:val="24"/>
          <w:lang w:val="fr-FR"/>
        </w:rPr>
        <w:fldChar w:fldCharType="begin"/>
      </w:r>
      <w:r w:rsidR="005D4AB7" w:rsidRPr="00A66252">
        <w:rPr>
          <w:szCs w:val="24"/>
          <w:lang w:val="fr-FR"/>
        </w:rPr>
        <w:instrText xml:space="preserve"> REF SUBS \h </w:instrText>
      </w:r>
      <w:r w:rsidR="00EE05A3" w:rsidRPr="00A66252">
        <w:rPr>
          <w:szCs w:val="24"/>
          <w:lang w:val="fr-FR"/>
        </w:rPr>
        <w:instrText xml:space="preserve"> \* MERGEFORMAT </w:instrText>
      </w:r>
      <w:r w:rsidR="005D4AB7" w:rsidRPr="00A66252">
        <w:rPr>
          <w:szCs w:val="24"/>
          <w:lang w:val="fr-FR"/>
        </w:rPr>
      </w:r>
      <w:r w:rsidR="005D4AB7" w:rsidRPr="00A66252">
        <w:rPr>
          <w:szCs w:val="24"/>
          <w:lang w:val="fr-FR"/>
        </w:rPr>
        <w:fldChar w:fldCharType="separate"/>
      </w:r>
      <w:r w:rsidR="00A66252" w:rsidRPr="00A66252">
        <w:rPr>
          <w:noProof/>
          <w:lang w:val="fr-FR" w:eastAsia="fr-FR"/>
        </w:rPr>
        <w:t>184</w:t>
      </w:r>
      <w:r w:rsidR="005D4AB7" w:rsidRPr="00A66252">
        <w:rPr>
          <w:szCs w:val="24"/>
          <w:lang w:val="fr-FR"/>
        </w:rPr>
        <w:fldChar w:fldCharType="end"/>
      </w:r>
      <w:r w:rsidR="00317797" w:rsidRPr="00A66252">
        <w:rPr>
          <w:szCs w:val="24"/>
          <w:lang w:val="fr-FR"/>
        </w:rPr>
        <w:t>), le mécanisme de plainte devant la Cour revêt un caractère subsidiaire par rapport aux systèmes nationaux de sauvegarde des droits de l</w:t>
      </w:r>
      <w:r w:rsidR="00A66252" w:rsidRPr="00A66252">
        <w:rPr>
          <w:szCs w:val="24"/>
          <w:lang w:val="fr-FR"/>
        </w:rPr>
        <w:t>’</w:t>
      </w:r>
      <w:r w:rsidR="00317797" w:rsidRPr="00A66252">
        <w:rPr>
          <w:szCs w:val="24"/>
          <w:lang w:val="fr-FR"/>
        </w:rPr>
        <w:t>homme.</w:t>
      </w:r>
    </w:p>
    <w:p w:rsidR="00433276" w:rsidRPr="00A66252" w:rsidRDefault="00317797" w:rsidP="00A66252">
      <w:pPr>
        <w:pStyle w:val="ECHRPara"/>
        <w:rPr>
          <w:lang w:val="fr-FR"/>
        </w:rPr>
      </w:pPr>
      <w:r w:rsidRPr="00A66252">
        <w:rPr>
          <w:szCs w:val="24"/>
          <w:lang w:val="fr-FR"/>
        </w:rPr>
        <w:fldChar w:fldCharType="begin"/>
      </w:r>
      <w:r w:rsidRPr="00A66252">
        <w:rPr>
          <w:szCs w:val="24"/>
          <w:lang w:val="fr-FR"/>
        </w:rPr>
        <w:instrText xml:space="preserve"> SEQ level0 \*arabic </w:instrText>
      </w:r>
      <w:r w:rsidRPr="00A66252">
        <w:rPr>
          <w:szCs w:val="24"/>
          <w:lang w:val="fr-FR"/>
        </w:rPr>
        <w:fldChar w:fldCharType="separate"/>
      </w:r>
      <w:r w:rsidR="00A66252" w:rsidRPr="00A66252">
        <w:rPr>
          <w:noProof/>
          <w:szCs w:val="24"/>
          <w:lang w:val="fr-FR"/>
        </w:rPr>
        <w:t>225</w:t>
      </w:r>
      <w:r w:rsidRPr="00A66252">
        <w:rPr>
          <w:szCs w:val="24"/>
          <w:lang w:val="fr-FR"/>
        </w:rPr>
        <w:fldChar w:fldCharType="end"/>
      </w:r>
      <w:r w:rsidRPr="00A66252">
        <w:rPr>
          <w:szCs w:val="24"/>
          <w:lang w:val="fr-FR"/>
        </w:rPr>
        <w:t>.  </w:t>
      </w:r>
      <w:r w:rsidR="00433276" w:rsidRPr="00A66252">
        <w:rPr>
          <w:szCs w:val="24"/>
          <w:lang w:val="fr-FR"/>
        </w:rPr>
        <w:t xml:space="preserve">Il en résulte que si les autorités belges </w:t>
      </w:r>
      <w:r w:rsidR="00683007" w:rsidRPr="00A66252">
        <w:rPr>
          <w:szCs w:val="24"/>
          <w:lang w:val="fr-FR"/>
        </w:rPr>
        <w:t>avaient</w:t>
      </w:r>
      <w:r w:rsidR="00433276" w:rsidRPr="00A66252">
        <w:rPr>
          <w:szCs w:val="24"/>
          <w:lang w:val="fr-FR"/>
        </w:rPr>
        <w:t xml:space="preserve">, </w:t>
      </w:r>
      <w:r w:rsidR="00433276" w:rsidRPr="00A66252">
        <w:rPr>
          <w:i/>
          <w:szCs w:val="24"/>
          <w:lang w:val="fr-FR"/>
        </w:rPr>
        <w:t>in fine</w:t>
      </w:r>
      <w:r w:rsidR="00433276" w:rsidRPr="00A66252">
        <w:rPr>
          <w:szCs w:val="24"/>
          <w:lang w:val="fr-FR"/>
        </w:rPr>
        <w:t>, conclu que l</w:t>
      </w:r>
      <w:r w:rsidR="00A66252" w:rsidRPr="00A66252">
        <w:rPr>
          <w:szCs w:val="24"/>
          <w:lang w:val="fr-FR"/>
        </w:rPr>
        <w:t>’</w:t>
      </w:r>
      <w:r w:rsidR="00433276" w:rsidRPr="00A66252">
        <w:rPr>
          <w:szCs w:val="24"/>
          <w:lang w:val="fr-FR"/>
        </w:rPr>
        <w:t>article 3 de la Convention tel qu</w:t>
      </w:r>
      <w:r w:rsidR="00A66252" w:rsidRPr="00A66252">
        <w:rPr>
          <w:szCs w:val="24"/>
          <w:lang w:val="fr-FR"/>
        </w:rPr>
        <w:t>’</w:t>
      </w:r>
      <w:r w:rsidR="00433276" w:rsidRPr="00A66252">
        <w:rPr>
          <w:szCs w:val="24"/>
          <w:lang w:val="fr-FR"/>
        </w:rPr>
        <w:t xml:space="preserve">interprété ci-dessus ne faisait pas obstacle au renvoi du requérant en Géorgie, il leur </w:t>
      </w:r>
      <w:r w:rsidR="00683007" w:rsidRPr="00A66252">
        <w:rPr>
          <w:szCs w:val="24"/>
          <w:lang w:val="fr-FR"/>
        </w:rPr>
        <w:t>aurait appartenu</w:t>
      </w:r>
      <w:r w:rsidR="00433276" w:rsidRPr="00A66252">
        <w:rPr>
          <w:szCs w:val="24"/>
          <w:lang w:val="fr-FR"/>
        </w:rPr>
        <w:t>, pour se conformer à l</w:t>
      </w:r>
      <w:r w:rsidR="00A66252" w:rsidRPr="00A66252">
        <w:rPr>
          <w:szCs w:val="24"/>
          <w:lang w:val="fr-FR"/>
        </w:rPr>
        <w:t>’</w:t>
      </w:r>
      <w:r w:rsidR="00433276" w:rsidRPr="00A66252">
        <w:rPr>
          <w:szCs w:val="24"/>
          <w:lang w:val="fr-FR"/>
        </w:rPr>
        <w:t>article 8, d</w:t>
      </w:r>
      <w:r w:rsidR="00A66252" w:rsidRPr="00A66252">
        <w:rPr>
          <w:szCs w:val="24"/>
          <w:lang w:val="fr-FR"/>
        </w:rPr>
        <w:t>’</w:t>
      </w:r>
      <w:r w:rsidR="00433276" w:rsidRPr="00A66252">
        <w:rPr>
          <w:szCs w:val="24"/>
          <w:lang w:val="fr-FR"/>
        </w:rPr>
        <w:t xml:space="preserve">examiner </w:t>
      </w:r>
      <w:r w:rsidR="00354CB5" w:rsidRPr="00A66252">
        <w:rPr>
          <w:szCs w:val="24"/>
          <w:lang w:val="fr-FR"/>
        </w:rPr>
        <w:t xml:space="preserve">en outre </w:t>
      </w:r>
      <w:r w:rsidR="00433276" w:rsidRPr="00A66252">
        <w:rPr>
          <w:szCs w:val="24"/>
          <w:lang w:val="fr-FR"/>
        </w:rPr>
        <w:t xml:space="preserve">si, eu égard à la situation concrète du requérant au moment du renvoi (voir, </w:t>
      </w:r>
      <w:r w:rsidR="00433276" w:rsidRPr="00A66252">
        <w:rPr>
          <w:i/>
          <w:szCs w:val="24"/>
          <w:lang w:val="fr-FR"/>
        </w:rPr>
        <w:t>mutatis mutandis</w:t>
      </w:r>
      <w:r w:rsidR="00433276" w:rsidRPr="00A66252">
        <w:rPr>
          <w:szCs w:val="24"/>
          <w:lang w:val="fr-FR"/>
        </w:rPr>
        <w:t xml:space="preserve">, </w:t>
      </w:r>
      <w:proofErr w:type="spellStart"/>
      <w:r w:rsidR="00B97583" w:rsidRPr="00A66252">
        <w:rPr>
          <w:i/>
          <w:lang w:val="fr-FR"/>
        </w:rPr>
        <w:t>Maslov</w:t>
      </w:r>
      <w:proofErr w:type="spellEnd"/>
      <w:r w:rsidR="00B97583" w:rsidRPr="00A66252">
        <w:rPr>
          <w:i/>
          <w:lang w:val="fr-FR"/>
        </w:rPr>
        <w:t xml:space="preserve"> c. </w:t>
      </w:r>
      <w:r w:rsidR="00433276" w:rsidRPr="00A66252">
        <w:rPr>
          <w:i/>
          <w:lang w:val="fr-FR"/>
        </w:rPr>
        <w:t>Autriche</w:t>
      </w:r>
      <w:r w:rsidR="00433276" w:rsidRPr="00A66252">
        <w:rPr>
          <w:lang w:val="fr-FR"/>
        </w:rPr>
        <w:t xml:space="preserve"> [GC], n</w:t>
      </w:r>
      <w:r w:rsidR="00433276" w:rsidRPr="00A66252">
        <w:rPr>
          <w:vertAlign w:val="superscript"/>
          <w:lang w:val="fr-FR"/>
        </w:rPr>
        <w:t>o</w:t>
      </w:r>
      <w:r w:rsidR="00433276" w:rsidRPr="00A66252">
        <w:rPr>
          <w:lang w:val="fr-FR"/>
        </w:rPr>
        <w:t xml:space="preserve"> 1638/03, § 93, CEDH 2008)</w:t>
      </w:r>
      <w:r w:rsidR="00433276" w:rsidRPr="00A66252">
        <w:rPr>
          <w:szCs w:val="24"/>
          <w:lang w:val="fr-FR"/>
        </w:rPr>
        <w:t xml:space="preserve">, on </w:t>
      </w:r>
      <w:r w:rsidR="00683007" w:rsidRPr="00A66252">
        <w:rPr>
          <w:szCs w:val="24"/>
          <w:lang w:val="fr-FR"/>
        </w:rPr>
        <w:t xml:space="preserve">pouvait </w:t>
      </w:r>
      <w:r w:rsidR="00433276" w:rsidRPr="00A66252">
        <w:rPr>
          <w:szCs w:val="24"/>
          <w:lang w:val="fr-FR"/>
        </w:rPr>
        <w:lastRenderedPageBreak/>
        <w:t>raisonnablement attendre de la famille qu</w:t>
      </w:r>
      <w:r w:rsidR="00A66252" w:rsidRPr="00A66252">
        <w:rPr>
          <w:szCs w:val="24"/>
          <w:lang w:val="fr-FR"/>
        </w:rPr>
        <w:t>’</w:t>
      </w:r>
      <w:r w:rsidR="00433276" w:rsidRPr="00A66252">
        <w:rPr>
          <w:szCs w:val="24"/>
          <w:lang w:val="fr-FR"/>
        </w:rPr>
        <w:t xml:space="preserve">elle </w:t>
      </w:r>
      <w:r w:rsidR="00683007" w:rsidRPr="00A66252">
        <w:rPr>
          <w:szCs w:val="24"/>
          <w:lang w:val="fr-FR"/>
        </w:rPr>
        <w:t>l</w:t>
      </w:r>
      <w:r w:rsidR="007C1214" w:rsidRPr="00A66252">
        <w:rPr>
          <w:szCs w:val="24"/>
          <w:lang w:val="fr-FR"/>
        </w:rPr>
        <w:t xml:space="preserve">e </w:t>
      </w:r>
      <w:r w:rsidR="00683007" w:rsidRPr="00A66252">
        <w:rPr>
          <w:szCs w:val="24"/>
          <w:lang w:val="fr-FR"/>
        </w:rPr>
        <w:t>suiv</w:t>
      </w:r>
      <w:r w:rsidR="00C7015B" w:rsidRPr="00A66252">
        <w:rPr>
          <w:szCs w:val="24"/>
          <w:lang w:val="fr-FR"/>
        </w:rPr>
        <w:t>î</w:t>
      </w:r>
      <w:r w:rsidR="007C1214" w:rsidRPr="00A66252">
        <w:rPr>
          <w:szCs w:val="24"/>
          <w:lang w:val="fr-FR"/>
        </w:rPr>
        <w:t>t</w:t>
      </w:r>
      <w:r w:rsidR="00433276" w:rsidRPr="00A66252">
        <w:rPr>
          <w:szCs w:val="24"/>
          <w:lang w:val="fr-FR"/>
        </w:rPr>
        <w:t xml:space="preserve"> en Géorgie ou si, dans le cas contraire, le respect du droit du requérant au respect de sa vie familiale exige</w:t>
      </w:r>
      <w:r w:rsidR="00683007" w:rsidRPr="00A66252">
        <w:rPr>
          <w:szCs w:val="24"/>
          <w:lang w:val="fr-FR"/>
        </w:rPr>
        <w:t>ait</w:t>
      </w:r>
      <w:r w:rsidR="00433276" w:rsidRPr="00A66252">
        <w:rPr>
          <w:szCs w:val="24"/>
          <w:lang w:val="fr-FR"/>
        </w:rPr>
        <w:t xml:space="preserve"> qu</w:t>
      </w:r>
      <w:r w:rsidR="00A66252" w:rsidRPr="00A66252">
        <w:rPr>
          <w:szCs w:val="24"/>
          <w:lang w:val="fr-FR"/>
        </w:rPr>
        <w:t>’</w:t>
      </w:r>
      <w:r w:rsidR="00433276" w:rsidRPr="00A66252">
        <w:rPr>
          <w:szCs w:val="24"/>
          <w:lang w:val="fr-FR"/>
        </w:rPr>
        <w:t xml:space="preserve">il </w:t>
      </w:r>
      <w:r w:rsidR="007C1214" w:rsidRPr="00A66252">
        <w:rPr>
          <w:szCs w:val="24"/>
          <w:lang w:val="fr-FR"/>
        </w:rPr>
        <w:t xml:space="preserve">fût </w:t>
      </w:r>
      <w:r w:rsidR="00433276" w:rsidRPr="00A66252">
        <w:rPr>
          <w:szCs w:val="24"/>
          <w:lang w:val="fr-FR"/>
        </w:rPr>
        <w:t xml:space="preserve">autorisé à séjourner en Belgique </w:t>
      </w:r>
      <w:r w:rsidR="00C7015B" w:rsidRPr="00A66252">
        <w:rPr>
          <w:szCs w:val="24"/>
          <w:lang w:val="fr-FR"/>
        </w:rPr>
        <w:t xml:space="preserve">pour </w:t>
      </w:r>
      <w:r w:rsidR="00433276" w:rsidRPr="00A66252">
        <w:rPr>
          <w:szCs w:val="24"/>
          <w:lang w:val="fr-FR"/>
        </w:rPr>
        <w:t>le temps qui lui rest</w:t>
      </w:r>
      <w:r w:rsidR="00683007" w:rsidRPr="00A66252">
        <w:rPr>
          <w:szCs w:val="24"/>
          <w:lang w:val="fr-FR"/>
        </w:rPr>
        <w:t>ait</w:t>
      </w:r>
      <w:r w:rsidR="00433276" w:rsidRPr="00A66252">
        <w:rPr>
          <w:szCs w:val="24"/>
          <w:lang w:val="fr-FR"/>
        </w:rPr>
        <w:t xml:space="preserve"> à vivre.</w:t>
      </w:r>
    </w:p>
    <w:bookmarkStart w:id="48" w:name="VIOLATIONART8"/>
    <w:p w:rsidR="00351645" w:rsidRPr="00A66252" w:rsidRDefault="00317797"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226</w:t>
      </w:r>
      <w:r w:rsidRPr="00A66252">
        <w:rPr>
          <w:lang w:val="fr-FR"/>
        </w:rPr>
        <w:fldChar w:fldCharType="end"/>
      </w:r>
      <w:bookmarkEnd w:id="48"/>
      <w:r w:rsidRPr="00A66252">
        <w:rPr>
          <w:lang w:val="fr-FR"/>
        </w:rPr>
        <w:t>.  </w:t>
      </w:r>
      <w:r w:rsidR="00433276" w:rsidRPr="00A66252">
        <w:rPr>
          <w:lang w:val="fr-FR"/>
        </w:rPr>
        <w:t>Il s</w:t>
      </w:r>
      <w:r w:rsidR="00A66252" w:rsidRPr="00A66252">
        <w:rPr>
          <w:lang w:val="fr-FR"/>
        </w:rPr>
        <w:t>’</w:t>
      </w:r>
      <w:r w:rsidR="00433276" w:rsidRPr="00A66252">
        <w:rPr>
          <w:lang w:val="fr-FR"/>
        </w:rPr>
        <w:t xml:space="preserve">ensuit que, si le requérant </w:t>
      </w:r>
      <w:r w:rsidR="00683007" w:rsidRPr="00A66252">
        <w:rPr>
          <w:lang w:val="fr-FR"/>
        </w:rPr>
        <w:t xml:space="preserve">avait </w:t>
      </w:r>
      <w:r w:rsidR="007C1214" w:rsidRPr="00A66252">
        <w:rPr>
          <w:lang w:val="fr-FR"/>
        </w:rPr>
        <w:t>été éloigné</w:t>
      </w:r>
      <w:r w:rsidR="00433276" w:rsidRPr="00A66252">
        <w:rPr>
          <w:lang w:val="fr-FR"/>
        </w:rPr>
        <w:t xml:space="preserve"> vers la Géorgie sans évaluation desdites données, il y aurait également </w:t>
      </w:r>
      <w:r w:rsidR="00683007" w:rsidRPr="00A66252">
        <w:rPr>
          <w:lang w:val="fr-FR"/>
        </w:rPr>
        <w:t xml:space="preserve">eu </w:t>
      </w:r>
      <w:r w:rsidR="00433276" w:rsidRPr="00A66252">
        <w:rPr>
          <w:lang w:val="fr-FR"/>
        </w:rPr>
        <w:t>violation de l</w:t>
      </w:r>
      <w:r w:rsidR="00A66252" w:rsidRPr="00A66252">
        <w:rPr>
          <w:lang w:val="fr-FR"/>
        </w:rPr>
        <w:t>’</w:t>
      </w:r>
      <w:r w:rsidR="00433276" w:rsidRPr="00A66252">
        <w:rPr>
          <w:lang w:val="fr-FR"/>
        </w:rPr>
        <w:t>article 8 de la Convention.</w:t>
      </w:r>
    </w:p>
    <w:p w:rsidR="00E77CB3" w:rsidRPr="00A66252" w:rsidRDefault="001F2860" w:rsidP="00A66252">
      <w:pPr>
        <w:pStyle w:val="ECHRHeading1"/>
        <w:rPr>
          <w:lang w:val="fr-FR"/>
        </w:rPr>
      </w:pPr>
      <w:r w:rsidRPr="00A66252">
        <w:rPr>
          <w:lang w:val="fr-FR"/>
        </w:rPr>
        <w:t>IV</w:t>
      </w:r>
      <w:r w:rsidR="00E77CB3" w:rsidRPr="00A66252">
        <w:rPr>
          <w:lang w:val="fr-FR"/>
        </w:rPr>
        <w:t>.  SUR L</w:t>
      </w:r>
      <w:r w:rsidR="00A66252" w:rsidRPr="00A66252">
        <w:rPr>
          <w:lang w:val="fr-FR"/>
        </w:rPr>
        <w:t>’</w:t>
      </w:r>
      <w:r w:rsidR="00E77CB3" w:rsidRPr="00A66252">
        <w:rPr>
          <w:lang w:val="fr-FR"/>
        </w:rPr>
        <w:t>APPLICATION DE L</w:t>
      </w:r>
      <w:r w:rsidR="00A66252" w:rsidRPr="00A66252">
        <w:rPr>
          <w:lang w:val="fr-FR"/>
        </w:rPr>
        <w:t>’</w:t>
      </w:r>
      <w:r w:rsidR="00E77CB3" w:rsidRPr="00A66252">
        <w:rPr>
          <w:lang w:val="fr-FR"/>
        </w:rPr>
        <w:t>ARTICLE 41 DE LA CONVENTION</w:t>
      </w:r>
    </w:p>
    <w:p w:rsidR="00E77CB3" w:rsidRPr="00A66252" w:rsidRDefault="002A4CE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227</w:t>
      </w:r>
      <w:r w:rsidRPr="00A66252">
        <w:rPr>
          <w:lang w:val="fr-FR"/>
        </w:rPr>
        <w:fldChar w:fldCharType="end"/>
      </w:r>
      <w:r w:rsidR="00E77CB3" w:rsidRPr="00A66252">
        <w:rPr>
          <w:lang w:val="fr-FR"/>
        </w:rPr>
        <w:t>.  Aux termes de l</w:t>
      </w:r>
      <w:r w:rsidR="00A66252" w:rsidRPr="00A66252">
        <w:rPr>
          <w:lang w:val="fr-FR"/>
        </w:rPr>
        <w:t>’</w:t>
      </w:r>
      <w:r w:rsidR="00E77CB3" w:rsidRPr="00A66252">
        <w:rPr>
          <w:lang w:val="fr-FR"/>
        </w:rPr>
        <w:t>article 41 de la Convention,</w:t>
      </w:r>
    </w:p>
    <w:p w:rsidR="00E77CB3" w:rsidRPr="00A66252" w:rsidRDefault="00E77CB3" w:rsidP="00A66252">
      <w:pPr>
        <w:pStyle w:val="ECHRParaQuote"/>
        <w:keepNext/>
        <w:keepLines/>
        <w:rPr>
          <w:lang w:val="fr-FR"/>
        </w:rPr>
      </w:pPr>
      <w:r w:rsidRPr="00A66252">
        <w:rPr>
          <w:lang w:val="fr-FR"/>
        </w:rPr>
        <w:t>« Si la Cour déclare qu</w:t>
      </w:r>
      <w:r w:rsidR="00A66252" w:rsidRPr="00A66252">
        <w:rPr>
          <w:lang w:val="fr-FR"/>
        </w:rPr>
        <w:t>’</w:t>
      </w:r>
      <w:r w:rsidRPr="00A66252">
        <w:rPr>
          <w:lang w:val="fr-FR"/>
        </w:rPr>
        <w:t>il y a eu violation de la Convention ou de ses Protocoles, et si le droit interne de la Haute Partie contractante ne permet d</w:t>
      </w:r>
      <w:r w:rsidR="00A66252" w:rsidRPr="00A66252">
        <w:rPr>
          <w:lang w:val="fr-FR"/>
        </w:rPr>
        <w:t>’</w:t>
      </w:r>
      <w:r w:rsidRPr="00A66252">
        <w:rPr>
          <w:lang w:val="fr-FR"/>
        </w:rPr>
        <w:t>effacer qu</w:t>
      </w:r>
      <w:r w:rsidR="00A66252" w:rsidRPr="00A66252">
        <w:rPr>
          <w:lang w:val="fr-FR"/>
        </w:rPr>
        <w:t>’</w:t>
      </w:r>
      <w:r w:rsidRPr="00A66252">
        <w:rPr>
          <w:lang w:val="fr-FR"/>
        </w:rPr>
        <w:t>imparfaitement les conséquences de cette violation, la Cour accorde à la partie lésée, s</w:t>
      </w:r>
      <w:r w:rsidR="00A66252" w:rsidRPr="00A66252">
        <w:rPr>
          <w:lang w:val="fr-FR"/>
        </w:rPr>
        <w:t>’</w:t>
      </w:r>
      <w:r w:rsidRPr="00A66252">
        <w:rPr>
          <w:lang w:val="fr-FR"/>
        </w:rPr>
        <w:t>il y a lieu, une satisfaction équitable. »</w:t>
      </w:r>
    </w:p>
    <w:p w:rsidR="00E77CB3" w:rsidRPr="00A66252" w:rsidRDefault="00E77CB3" w:rsidP="00A66252">
      <w:pPr>
        <w:pStyle w:val="ECHRHeading2"/>
        <w:rPr>
          <w:lang w:val="fr-FR"/>
        </w:rPr>
      </w:pPr>
      <w:r w:rsidRPr="00A66252">
        <w:rPr>
          <w:lang w:val="fr-FR"/>
        </w:rPr>
        <w:t>A.  Dommage</w:t>
      </w:r>
    </w:p>
    <w:p w:rsidR="00A66252" w:rsidRPr="00A66252" w:rsidRDefault="002A4CE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228</w:t>
      </w:r>
      <w:r w:rsidRPr="00A66252">
        <w:rPr>
          <w:lang w:val="fr-FR"/>
        </w:rPr>
        <w:fldChar w:fldCharType="end"/>
      </w:r>
      <w:r w:rsidR="00E77CB3" w:rsidRPr="00A66252">
        <w:rPr>
          <w:lang w:val="fr-FR"/>
        </w:rPr>
        <w:t>.  </w:t>
      </w:r>
      <w:r w:rsidR="00CF0E90" w:rsidRPr="00A66252">
        <w:rPr>
          <w:lang w:val="fr-FR"/>
        </w:rPr>
        <w:t>Le requérant</w:t>
      </w:r>
      <w:r w:rsidR="00E77CB3" w:rsidRPr="00A66252">
        <w:rPr>
          <w:lang w:val="fr-FR"/>
        </w:rPr>
        <w:t xml:space="preserve"> réclam</w:t>
      </w:r>
      <w:r w:rsidR="00305713" w:rsidRPr="00A66252">
        <w:rPr>
          <w:lang w:val="fr-FR"/>
        </w:rPr>
        <w:t>ait</w:t>
      </w:r>
      <w:r w:rsidR="00E77CB3" w:rsidRPr="00A66252">
        <w:rPr>
          <w:lang w:val="fr-FR"/>
        </w:rPr>
        <w:t xml:space="preserve"> </w:t>
      </w:r>
      <w:r w:rsidR="00CF0E90" w:rsidRPr="00A66252">
        <w:rPr>
          <w:lang w:val="fr-FR"/>
        </w:rPr>
        <w:t>10 434</w:t>
      </w:r>
      <w:r w:rsidR="00E77CB3" w:rsidRPr="00A66252">
        <w:rPr>
          <w:lang w:val="fr-FR"/>
        </w:rPr>
        <w:t xml:space="preserve"> </w:t>
      </w:r>
      <w:r w:rsidR="001F2860" w:rsidRPr="00A66252">
        <w:rPr>
          <w:lang w:val="fr-FR"/>
        </w:rPr>
        <w:t>EUR</w:t>
      </w:r>
      <w:r w:rsidR="00E77CB3" w:rsidRPr="00A66252">
        <w:rPr>
          <w:lang w:val="fr-FR"/>
        </w:rPr>
        <w:t xml:space="preserve"> au titre du préjudice matériel</w:t>
      </w:r>
      <w:r w:rsidR="00CF0E90" w:rsidRPr="00A66252">
        <w:rPr>
          <w:lang w:val="fr-FR"/>
        </w:rPr>
        <w:t>. Ce montant correspond aux sommes qu</w:t>
      </w:r>
      <w:r w:rsidR="00A66252" w:rsidRPr="00A66252">
        <w:rPr>
          <w:lang w:val="fr-FR"/>
        </w:rPr>
        <w:t>’</w:t>
      </w:r>
      <w:r w:rsidR="00CF0E90" w:rsidRPr="00A66252">
        <w:rPr>
          <w:lang w:val="fr-FR"/>
        </w:rPr>
        <w:t>il a</w:t>
      </w:r>
      <w:r w:rsidR="00354CB5" w:rsidRPr="00A66252">
        <w:rPr>
          <w:lang w:val="fr-FR"/>
        </w:rPr>
        <w:t>vait</w:t>
      </w:r>
      <w:r w:rsidR="00CF0E90" w:rsidRPr="00A66252">
        <w:rPr>
          <w:lang w:val="fr-FR"/>
        </w:rPr>
        <w:t xml:space="preserve"> dû débourser personnellement pour bénéficier des traitements en Belgique et qui n</w:t>
      </w:r>
      <w:r w:rsidR="00A66252" w:rsidRPr="00A66252">
        <w:rPr>
          <w:lang w:val="fr-FR"/>
        </w:rPr>
        <w:t>’</w:t>
      </w:r>
      <w:r w:rsidR="00354CB5" w:rsidRPr="00A66252">
        <w:rPr>
          <w:lang w:val="fr-FR"/>
        </w:rPr>
        <w:t xml:space="preserve">avaient </w:t>
      </w:r>
      <w:r w:rsidR="00CF0E90" w:rsidRPr="00A66252">
        <w:rPr>
          <w:lang w:val="fr-FR"/>
        </w:rPr>
        <w:t xml:space="preserve">pas pu être pris en charge </w:t>
      </w:r>
      <w:r w:rsidR="0023419F" w:rsidRPr="00A66252">
        <w:rPr>
          <w:lang w:val="fr-FR"/>
        </w:rPr>
        <w:t>en raison</w:t>
      </w:r>
      <w:r w:rsidR="00CF0E90" w:rsidRPr="00A66252">
        <w:rPr>
          <w:lang w:val="fr-FR"/>
        </w:rPr>
        <w:t xml:space="preserve"> du caractère irrégulier de son séjour en Belgique.</w:t>
      </w:r>
    </w:p>
    <w:p w:rsidR="00A66252" w:rsidRPr="00A66252" w:rsidRDefault="00B3343F"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229</w:t>
      </w:r>
      <w:r w:rsidRPr="00A66252">
        <w:rPr>
          <w:lang w:val="fr-FR"/>
        </w:rPr>
        <w:fldChar w:fldCharType="end"/>
      </w:r>
      <w:r w:rsidRPr="00A66252">
        <w:rPr>
          <w:lang w:val="fr-FR"/>
        </w:rPr>
        <w:t>.  La Cour n</w:t>
      </w:r>
      <w:r w:rsidR="00A66252" w:rsidRPr="00A66252">
        <w:rPr>
          <w:lang w:val="fr-FR"/>
        </w:rPr>
        <w:t>’</w:t>
      </w:r>
      <w:r w:rsidRPr="00A66252">
        <w:rPr>
          <w:lang w:val="fr-FR"/>
        </w:rPr>
        <w:t>aperçoit pas de lien de causalité entre la violation constatée et le dommage matériel allégué et rejette cette demande.</w:t>
      </w:r>
    </w:p>
    <w:p w:rsidR="00CF0E90" w:rsidRPr="00A66252" w:rsidRDefault="00CF0E90"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230</w:t>
      </w:r>
      <w:r w:rsidRPr="00A66252">
        <w:rPr>
          <w:lang w:val="fr-FR"/>
        </w:rPr>
        <w:fldChar w:fldCharType="end"/>
      </w:r>
      <w:r w:rsidRPr="00A66252">
        <w:rPr>
          <w:lang w:val="fr-FR"/>
        </w:rPr>
        <w:t>.  Le requérant réclam</w:t>
      </w:r>
      <w:r w:rsidR="00305713" w:rsidRPr="00A66252">
        <w:rPr>
          <w:lang w:val="fr-FR"/>
        </w:rPr>
        <w:t>ait</w:t>
      </w:r>
      <w:r w:rsidRPr="00A66252">
        <w:rPr>
          <w:lang w:val="fr-FR"/>
        </w:rPr>
        <w:t xml:space="preserve"> en outre 5 000 EUR au titre du préjudice moral</w:t>
      </w:r>
      <w:r w:rsidR="00197DE3" w:rsidRPr="00A66252">
        <w:rPr>
          <w:lang w:val="fr-FR"/>
        </w:rPr>
        <w:t xml:space="preserve"> </w:t>
      </w:r>
      <w:r w:rsidR="004806ED" w:rsidRPr="00A66252">
        <w:rPr>
          <w:lang w:val="fr-FR"/>
        </w:rPr>
        <w:t>qui a</w:t>
      </w:r>
      <w:r w:rsidR="00354CB5" w:rsidRPr="00A66252">
        <w:rPr>
          <w:lang w:val="fr-FR"/>
        </w:rPr>
        <w:t>vait</w:t>
      </w:r>
      <w:r w:rsidR="004806ED" w:rsidRPr="00A66252">
        <w:rPr>
          <w:lang w:val="fr-FR"/>
        </w:rPr>
        <w:t xml:space="preserve"> résulté de la précarité de sa situation socio-économique.</w:t>
      </w:r>
    </w:p>
    <w:p w:rsidR="00854455" w:rsidRPr="00A66252" w:rsidRDefault="004806ED"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231</w:t>
      </w:r>
      <w:r w:rsidRPr="00A66252">
        <w:rPr>
          <w:lang w:val="fr-FR"/>
        </w:rPr>
        <w:fldChar w:fldCharType="end"/>
      </w:r>
      <w:r w:rsidR="00305713" w:rsidRPr="00A66252">
        <w:rPr>
          <w:lang w:val="fr-FR"/>
        </w:rPr>
        <w:t>.</w:t>
      </w:r>
      <w:r w:rsidR="0036001D" w:rsidRPr="00A66252">
        <w:rPr>
          <w:lang w:val="fr-FR"/>
        </w:rPr>
        <w:t>  </w:t>
      </w:r>
      <w:r w:rsidR="00305713" w:rsidRPr="00A66252">
        <w:rPr>
          <w:lang w:val="fr-FR"/>
        </w:rPr>
        <w:t>La Cour estime qu</w:t>
      </w:r>
      <w:r w:rsidR="00A66252" w:rsidRPr="00A66252">
        <w:rPr>
          <w:lang w:val="fr-FR"/>
        </w:rPr>
        <w:t>’</w:t>
      </w:r>
      <w:r w:rsidR="00305713" w:rsidRPr="00A66252">
        <w:rPr>
          <w:lang w:val="fr-FR"/>
        </w:rPr>
        <w:t>eu égard aux circonstances de l</w:t>
      </w:r>
      <w:r w:rsidR="00A66252" w:rsidRPr="00A66252">
        <w:rPr>
          <w:lang w:val="fr-FR"/>
        </w:rPr>
        <w:t>’</w:t>
      </w:r>
      <w:r w:rsidR="00305713" w:rsidRPr="00A66252">
        <w:rPr>
          <w:lang w:val="fr-FR"/>
        </w:rPr>
        <w:t>espèce, l</w:t>
      </w:r>
      <w:r w:rsidR="00354CB5" w:rsidRPr="00A66252">
        <w:rPr>
          <w:lang w:val="fr-FR"/>
        </w:rPr>
        <w:t xml:space="preserve">a conclusion </w:t>
      </w:r>
      <w:r w:rsidR="00B02351" w:rsidRPr="00A66252">
        <w:rPr>
          <w:lang w:val="fr-FR"/>
        </w:rPr>
        <w:t xml:space="preserve">à laquelle elle est parvenue au sujet des </w:t>
      </w:r>
      <w:r w:rsidR="00305713" w:rsidRPr="00A66252">
        <w:rPr>
          <w:lang w:val="fr-FR"/>
        </w:rPr>
        <w:t>articles 3 et 8 (paragraphes</w:t>
      </w:r>
      <w:r w:rsidR="00070476" w:rsidRPr="00A66252">
        <w:rPr>
          <w:lang w:val="fr-FR"/>
        </w:rPr>
        <w:t xml:space="preserve"> </w:t>
      </w:r>
      <w:r w:rsidR="00070476" w:rsidRPr="00A66252">
        <w:rPr>
          <w:lang w:val="fr-FR"/>
        </w:rPr>
        <w:fldChar w:fldCharType="begin"/>
      </w:r>
      <w:r w:rsidR="00070476" w:rsidRPr="00A66252">
        <w:rPr>
          <w:lang w:val="fr-FR"/>
        </w:rPr>
        <w:instrText xml:space="preserve"> REF ART3CONCLFINE \h </w:instrText>
      </w:r>
      <w:r w:rsidR="0080142D" w:rsidRPr="00A66252">
        <w:rPr>
          <w:lang w:val="fr-FR"/>
        </w:rPr>
        <w:instrText xml:space="preserve"> \* MERGEFORMAT </w:instrText>
      </w:r>
      <w:r w:rsidR="00070476" w:rsidRPr="00A66252">
        <w:rPr>
          <w:lang w:val="fr-FR"/>
        </w:rPr>
      </w:r>
      <w:r w:rsidR="00070476" w:rsidRPr="00A66252">
        <w:rPr>
          <w:lang w:val="fr-FR"/>
        </w:rPr>
        <w:fldChar w:fldCharType="separate"/>
      </w:r>
      <w:r w:rsidR="00A66252" w:rsidRPr="00A66252">
        <w:rPr>
          <w:noProof/>
          <w:lang w:val="fr-FR"/>
        </w:rPr>
        <w:t>206</w:t>
      </w:r>
      <w:r w:rsidR="00070476" w:rsidRPr="00A66252">
        <w:rPr>
          <w:lang w:val="fr-FR"/>
        </w:rPr>
        <w:fldChar w:fldCharType="end"/>
      </w:r>
      <w:r w:rsidR="00305713" w:rsidRPr="00A66252">
        <w:rPr>
          <w:lang w:val="fr-FR"/>
        </w:rPr>
        <w:t xml:space="preserve"> et </w:t>
      </w:r>
      <w:r w:rsidR="00305713" w:rsidRPr="00A66252">
        <w:rPr>
          <w:lang w:val="fr-FR"/>
        </w:rPr>
        <w:fldChar w:fldCharType="begin"/>
      </w:r>
      <w:r w:rsidR="00305713" w:rsidRPr="00A66252">
        <w:rPr>
          <w:lang w:val="fr-FR"/>
        </w:rPr>
        <w:instrText xml:space="preserve"> REF VIOLATIONART8 \h  \* MERGEFORMAT </w:instrText>
      </w:r>
      <w:r w:rsidR="00305713" w:rsidRPr="00A66252">
        <w:rPr>
          <w:lang w:val="fr-FR"/>
        </w:rPr>
      </w:r>
      <w:r w:rsidR="00305713" w:rsidRPr="00A66252">
        <w:rPr>
          <w:lang w:val="fr-FR"/>
        </w:rPr>
        <w:fldChar w:fldCharType="separate"/>
      </w:r>
      <w:r w:rsidR="00A66252" w:rsidRPr="00A66252">
        <w:rPr>
          <w:noProof/>
          <w:lang w:val="fr-FR"/>
        </w:rPr>
        <w:t>226</w:t>
      </w:r>
      <w:r w:rsidR="00305713" w:rsidRPr="00A66252">
        <w:rPr>
          <w:lang w:val="fr-FR"/>
        </w:rPr>
        <w:fldChar w:fldCharType="end"/>
      </w:r>
      <w:r w:rsidR="00305713" w:rsidRPr="00A66252">
        <w:rPr>
          <w:lang w:val="fr-FR"/>
        </w:rPr>
        <w:t xml:space="preserve">) constitue une satisfaction équitable suffisante pour tout dommage </w:t>
      </w:r>
      <w:r w:rsidR="00B3343F" w:rsidRPr="00A66252">
        <w:rPr>
          <w:lang w:val="fr-FR"/>
        </w:rPr>
        <w:t xml:space="preserve">moral </w:t>
      </w:r>
      <w:r w:rsidR="00305713" w:rsidRPr="00A66252">
        <w:rPr>
          <w:lang w:val="fr-FR"/>
        </w:rPr>
        <w:t>pouvant avoir été subi par le requérant. Elle n</w:t>
      </w:r>
      <w:r w:rsidR="00A66252" w:rsidRPr="00A66252">
        <w:rPr>
          <w:lang w:val="fr-FR"/>
        </w:rPr>
        <w:t>’</w:t>
      </w:r>
      <w:r w:rsidR="00305713" w:rsidRPr="00A66252">
        <w:rPr>
          <w:lang w:val="fr-FR"/>
        </w:rPr>
        <w:t>accorde donc aucune somme de ce chef.</w:t>
      </w:r>
    </w:p>
    <w:p w:rsidR="00E43091" w:rsidRPr="00A66252" w:rsidRDefault="00E77CB3" w:rsidP="00A66252">
      <w:pPr>
        <w:pStyle w:val="ECHRHeading2"/>
        <w:rPr>
          <w:lang w:val="fr-FR"/>
        </w:rPr>
      </w:pPr>
      <w:r w:rsidRPr="00A66252">
        <w:rPr>
          <w:lang w:val="fr-FR"/>
        </w:rPr>
        <w:t>B.  Frais et dépens</w:t>
      </w:r>
    </w:p>
    <w:p w:rsidR="002C1699" w:rsidRPr="00A66252" w:rsidRDefault="002A4CEB"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232</w:t>
      </w:r>
      <w:r w:rsidRPr="00A66252">
        <w:rPr>
          <w:lang w:val="fr-FR"/>
        </w:rPr>
        <w:fldChar w:fldCharType="end"/>
      </w:r>
      <w:r w:rsidR="00E77CB3" w:rsidRPr="00A66252">
        <w:rPr>
          <w:lang w:val="fr-FR"/>
        </w:rPr>
        <w:t>.  </w:t>
      </w:r>
      <w:r w:rsidR="002C1699" w:rsidRPr="00A66252">
        <w:rPr>
          <w:lang w:val="fr-FR"/>
        </w:rPr>
        <w:t>Le requérant réclam</w:t>
      </w:r>
      <w:r w:rsidR="007C1214" w:rsidRPr="00A66252">
        <w:rPr>
          <w:lang w:val="fr-FR"/>
        </w:rPr>
        <w:t>ait</w:t>
      </w:r>
      <w:r w:rsidR="002C1699" w:rsidRPr="00A66252">
        <w:rPr>
          <w:lang w:val="fr-FR"/>
        </w:rPr>
        <w:t xml:space="preserve"> également 9 411 EUR au titre des honoraires occasionnés par la préparation des observations </w:t>
      </w:r>
      <w:r w:rsidR="00012BD2" w:rsidRPr="00A66252">
        <w:rPr>
          <w:lang w:val="fr-FR"/>
        </w:rPr>
        <w:t xml:space="preserve">écrites </w:t>
      </w:r>
      <w:r w:rsidR="002C1699" w:rsidRPr="00A66252">
        <w:rPr>
          <w:lang w:val="fr-FR"/>
        </w:rPr>
        <w:t xml:space="preserve">que ses conseils </w:t>
      </w:r>
      <w:r w:rsidR="007C1214" w:rsidRPr="00A66252">
        <w:rPr>
          <w:lang w:val="fr-FR"/>
        </w:rPr>
        <w:t xml:space="preserve">avaient </w:t>
      </w:r>
      <w:r w:rsidR="00C4778D" w:rsidRPr="00A66252">
        <w:rPr>
          <w:lang w:val="fr-FR"/>
        </w:rPr>
        <w:t xml:space="preserve">présentées </w:t>
      </w:r>
      <w:r w:rsidR="004806ED" w:rsidRPr="00A66252">
        <w:rPr>
          <w:lang w:val="fr-FR"/>
        </w:rPr>
        <w:t>devant la Cour jusqu</w:t>
      </w:r>
      <w:r w:rsidR="00A66252" w:rsidRPr="00A66252">
        <w:rPr>
          <w:lang w:val="fr-FR"/>
        </w:rPr>
        <w:t>’</w:t>
      </w:r>
      <w:r w:rsidR="004806ED" w:rsidRPr="00A66252">
        <w:rPr>
          <w:lang w:val="fr-FR"/>
        </w:rPr>
        <w:t>à la demande de renvoi de l</w:t>
      </w:r>
      <w:r w:rsidR="00A66252" w:rsidRPr="00A66252">
        <w:rPr>
          <w:lang w:val="fr-FR"/>
        </w:rPr>
        <w:t>’</w:t>
      </w:r>
      <w:r w:rsidR="004806ED" w:rsidRPr="00A66252">
        <w:rPr>
          <w:lang w:val="fr-FR"/>
        </w:rPr>
        <w:t>affaire à la Grande Chambre</w:t>
      </w:r>
      <w:r w:rsidR="002C1699" w:rsidRPr="00A66252">
        <w:rPr>
          <w:lang w:val="fr-FR"/>
        </w:rPr>
        <w:t>.</w:t>
      </w:r>
      <w:r w:rsidR="00003BDA" w:rsidRPr="00A66252">
        <w:rPr>
          <w:lang w:val="fr-FR"/>
        </w:rPr>
        <w:t xml:space="preserve"> </w:t>
      </w:r>
      <w:r w:rsidR="00012BD2" w:rsidRPr="00A66252">
        <w:rPr>
          <w:lang w:val="fr-FR"/>
        </w:rPr>
        <w:t>Il précis</w:t>
      </w:r>
      <w:r w:rsidR="00C7015B" w:rsidRPr="00A66252">
        <w:rPr>
          <w:lang w:val="fr-FR"/>
        </w:rPr>
        <w:t>ait</w:t>
      </w:r>
      <w:r w:rsidR="00012BD2" w:rsidRPr="00A66252">
        <w:rPr>
          <w:lang w:val="fr-FR"/>
        </w:rPr>
        <w:t>, facture à l</w:t>
      </w:r>
      <w:r w:rsidR="00A66252" w:rsidRPr="00A66252">
        <w:rPr>
          <w:lang w:val="fr-FR"/>
        </w:rPr>
        <w:t>’</w:t>
      </w:r>
      <w:r w:rsidR="00012BD2" w:rsidRPr="00A66252">
        <w:rPr>
          <w:lang w:val="fr-FR"/>
        </w:rPr>
        <w:t>appui, qu</w:t>
      </w:r>
      <w:r w:rsidR="00A66252" w:rsidRPr="00A66252">
        <w:rPr>
          <w:lang w:val="fr-FR"/>
        </w:rPr>
        <w:t>’</w:t>
      </w:r>
      <w:r w:rsidR="00012BD2" w:rsidRPr="00A66252">
        <w:rPr>
          <w:lang w:val="fr-FR"/>
        </w:rPr>
        <w:t>il a</w:t>
      </w:r>
      <w:r w:rsidR="007C1214" w:rsidRPr="00A66252">
        <w:rPr>
          <w:lang w:val="fr-FR"/>
        </w:rPr>
        <w:t>vait</w:t>
      </w:r>
      <w:r w:rsidR="00012BD2" w:rsidRPr="00A66252">
        <w:rPr>
          <w:lang w:val="fr-FR"/>
        </w:rPr>
        <w:t xml:space="preserve"> déjà réglé environ </w:t>
      </w:r>
      <w:r w:rsidR="00003BDA" w:rsidRPr="00A66252">
        <w:rPr>
          <w:lang w:val="fr-FR"/>
        </w:rPr>
        <w:t>la moitié de</w:t>
      </w:r>
      <w:r w:rsidR="00012BD2" w:rsidRPr="00A66252">
        <w:rPr>
          <w:lang w:val="fr-FR"/>
        </w:rPr>
        <w:t xml:space="preserve"> ces honoraires, soit un montant de 4 668 EUR. </w:t>
      </w:r>
      <w:r w:rsidR="004806ED" w:rsidRPr="00A66252">
        <w:rPr>
          <w:lang w:val="fr-FR"/>
        </w:rPr>
        <w:t>Il indiqu</w:t>
      </w:r>
      <w:r w:rsidR="007C1214" w:rsidRPr="00A66252">
        <w:rPr>
          <w:lang w:val="fr-FR"/>
        </w:rPr>
        <w:t>ait</w:t>
      </w:r>
      <w:r w:rsidR="004806ED" w:rsidRPr="00A66252">
        <w:rPr>
          <w:lang w:val="fr-FR"/>
        </w:rPr>
        <w:t xml:space="preserve"> ne pas être à même de régler le surplus.</w:t>
      </w:r>
    </w:p>
    <w:p w:rsidR="002C1699" w:rsidRPr="00A66252" w:rsidRDefault="002C1699"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233</w:t>
      </w:r>
      <w:r w:rsidRPr="00A66252">
        <w:rPr>
          <w:lang w:val="fr-FR"/>
        </w:rPr>
        <w:fldChar w:fldCharType="end"/>
      </w:r>
      <w:r w:rsidRPr="00A66252">
        <w:rPr>
          <w:lang w:val="fr-FR"/>
        </w:rPr>
        <w:t>.  </w:t>
      </w:r>
      <w:r w:rsidR="004806ED" w:rsidRPr="00A66252">
        <w:rPr>
          <w:lang w:val="fr-FR"/>
        </w:rPr>
        <w:t>Dans ses observations devant la chambre, l</w:t>
      </w:r>
      <w:r w:rsidRPr="00A66252">
        <w:rPr>
          <w:lang w:val="fr-FR"/>
        </w:rPr>
        <w:t xml:space="preserve">e Gouvernement </w:t>
      </w:r>
      <w:r w:rsidR="00F75076" w:rsidRPr="00A66252">
        <w:rPr>
          <w:lang w:val="fr-FR"/>
        </w:rPr>
        <w:t>fai</w:t>
      </w:r>
      <w:r w:rsidR="004806ED" w:rsidRPr="00A66252">
        <w:rPr>
          <w:lang w:val="fr-FR"/>
        </w:rPr>
        <w:t>sai</w:t>
      </w:r>
      <w:r w:rsidR="00F75076" w:rsidRPr="00A66252">
        <w:rPr>
          <w:lang w:val="fr-FR"/>
        </w:rPr>
        <w:t xml:space="preserve">t valoir que le requérant, </w:t>
      </w:r>
      <w:r w:rsidR="00374AE8" w:rsidRPr="00A66252">
        <w:rPr>
          <w:lang w:val="fr-FR"/>
        </w:rPr>
        <w:t>en tant qu</w:t>
      </w:r>
      <w:r w:rsidR="00A66252" w:rsidRPr="00A66252">
        <w:rPr>
          <w:lang w:val="fr-FR"/>
        </w:rPr>
        <w:t>’</w:t>
      </w:r>
      <w:r w:rsidR="00374AE8" w:rsidRPr="00A66252">
        <w:rPr>
          <w:lang w:val="fr-FR"/>
        </w:rPr>
        <w:t xml:space="preserve">étranger, </w:t>
      </w:r>
      <w:r w:rsidR="004806ED" w:rsidRPr="00A66252">
        <w:rPr>
          <w:lang w:val="fr-FR"/>
        </w:rPr>
        <w:t>était</w:t>
      </w:r>
      <w:r w:rsidR="00374AE8" w:rsidRPr="00A66252">
        <w:rPr>
          <w:lang w:val="fr-FR"/>
        </w:rPr>
        <w:t xml:space="preserve"> présumé </w:t>
      </w:r>
      <w:r w:rsidR="00F75076" w:rsidRPr="00A66252">
        <w:rPr>
          <w:lang w:val="fr-FR"/>
        </w:rPr>
        <w:t>indigent</w:t>
      </w:r>
      <w:r w:rsidR="00374AE8" w:rsidRPr="00A66252">
        <w:rPr>
          <w:lang w:val="fr-FR"/>
        </w:rPr>
        <w:t xml:space="preserve"> en droit </w:t>
      </w:r>
      <w:r w:rsidR="00374AE8" w:rsidRPr="00A66252">
        <w:rPr>
          <w:lang w:val="fr-FR"/>
        </w:rPr>
        <w:lastRenderedPageBreak/>
        <w:t>interne et</w:t>
      </w:r>
      <w:r w:rsidR="00F75076" w:rsidRPr="00A66252">
        <w:rPr>
          <w:lang w:val="fr-FR"/>
        </w:rPr>
        <w:t xml:space="preserve"> </w:t>
      </w:r>
      <w:r w:rsidR="00374AE8" w:rsidRPr="00A66252">
        <w:rPr>
          <w:lang w:val="fr-FR"/>
        </w:rPr>
        <w:t xml:space="preserve">donc </w:t>
      </w:r>
      <w:r w:rsidR="00F75076" w:rsidRPr="00A66252">
        <w:rPr>
          <w:lang w:val="fr-FR"/>
        </w:rPr>
        <w:t>éligible à l</w:t>
      </w:r>
      <w:r w:rsidR="00A66252" w:rsidRPr="00A66252">
        <w:rPr>
          <w:lang w:val="fr-FR"/>
        </w:rPr>
        <w:t>’</w:t>
      </w:r>
      <w:r w:rsidR="00F75076" w:rsidRPr="00A66252">
        <w:rPr>
          <w:lang w:val="fr-FR"/>
        </w:rPr>
        <w:t>aide juridique, y compris pour les frais afférents à la procédure devant la Cour.</w:t>
      </w:r>
    </w:p>
    <w:p w:rsidR="00A66252" w:rsidRPr="00A66252" w:rsidRDefault="00305713" w:rsidP="00A66252">
      <w:pPr>
        <w:pStyle w:val="ECHRPara"/>
        <w:rPr>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234</w:t>
      </w:r>
      <w:r w:rsidRPr="00A66252">
        <w:rPr>
          <w:lang w:val="fr-FR"/>
        </w:rPr>
        <w:fldChar w:fldCharType="end"/>
      </w:r>
      <w:r w:rsidR="002C7116" w:rsidRPr="00A66252">
        <w:rPr>
          <w:lang w:val="fr-FR"/>
        </w:rPr>
        <w:t>.  </w:t>
      </w:r>
      <w:r w:rsidRPr="00A66252">
        <w:rPr>
          <w:lang w:val="fr-FR"/>
        </w:rPr>
        <w:t xml:space="preserve">Statuant en équité, la Cour décide que 5 000 EUR seront versés pour frais et dépens à la </w:t>
      </w:r>
      <w:r w:rsidR="00B02351" w:rsidRPr="00A66252">
        <w:rPr>
          <w:lang w:val="fr-FR"/>
        </w:rPr>
        <w:t>famille</w:t>
      </w:r>
      <w:r w:rsidRPr="00A66252">
        <w:rPr>
          <w:lang w:val="fr-FR"/>
        </w:rPr>
        <w:t xml:space="preserve"> du requérant et que cette somme sera majorée de tout montant pouvant être dû </w:t>
      </w:r>
      <w:r w:rsidR="00070476" w:rsidRPr="00A66252">
        <w:rPr>
          <w:lang w:val="fr-FR"/>
        </w:rPr>
        <w:t xml:space="preserve">par elle </w:t>
      </w:r>
      <w:r w:rsidRPr="00A66252">
        <w:rPr>
          <w:lang w:val="fr-FR"/>
        </w:rPr>
        <w:t>à titre d</w:t>
      </w:r>
      <w:r w:rsidR="00A66252" w:rsidRPr="00A66252">
        <w:rPr>
          <w:lang w:val="fr-FR"/>
        </w:rPr>
        <w:t>’</w:t>
      </w:r>
      <w:r w:rsidRPr="00A66252">
        <w:rPr>
          <w:lang w:val="fr-FR"/>
        </w:rPr>
        <w:t>impôt</w:t>
      </w:r>
      <w:r w:rsidR="00FF5843" w:rsidRPr="00A66252">
        <w:rPr>
          <w:lang w:val="fr-FR"/>
        </w:rPr>
        <w:t xml:space="preserve"> (voir, </w:t>
      </w:r>
      <w:r w:rsidR="00FF5843" w:rsidRPr="00A66252">
        <w:rPr>
          <w:i/>
          <w:lang w:val="fr-FR"/>
        </w:rPr>
        <w:t>mutatis mutandis</w:t>
      </w:r>
      <w:r w:rsidR="00FF5843" w:rsidRPr="00A66252">
        <w:rPr>
          <w:lang w:val="fr-FR"/>
        </w:rPr>
        <w:t xml:space="preserve">, </w:t>
      </w:r>
      <w:proofErr w:type="spellStart"/>
      <w:r w:rsidR="00FF5843" w:rsidRPr="00A66252">
        <w:rPr>
          <w:i/>
          <w:lang w:val="fr-FR"/>
        </w:rPr>
        <w:t>Karner</w:t>
      </w:r>
      <w:proofErr w:type="spellEnd"/>
      <w:r w:rsidR="00FF5843" w:rsidRPr="00A66252">
        <w:rPr>
          <w:lang w:val="fr-FR"/>
        </w:rPr>
        <w:t>, précité, § 50)</w:t>
      </w:r>
      <w:r w:rsidRPr="00A66252">
        <w:rPr>
          <w:lang w:val="fr-FR"/>
        </w:rPr>
        <w:t>.</w:t>
      </w:r>
    </w:p>
    <w:p w:rsidR="00E77CB3" w:rsidRPr="00A66252" w:rsidRDefault="00E77CB3" w:rsidP="00A66252">
      <w:pPr>
        <w:pStyle w:val="ECHRHeading2"/>
        <w:rPr>
          <w:lang w:val="fr-FR"/>
        </w:rPr>
      </w:pPr>
      <w:r w:rsidRPr="00A66252">
        <w:rPr>
          <w:lang w:val="fr-FR"/>
        </w:rPr>
        <w:t>C.  Intérêts moratoires</w:t>
      </w:r>
    </w:p>
    <w:p w:rsidR="00E77CB3" w:rsidRPr="00A66252" w:rsidRDefault="00CF0E90" w:rsidP="00A66252">
      <w:pPr>
        <w:pStyle w:val="ECHRPara"/>
        <w:rPr>
          <w:strike/>
          <w:lang w:val="fr-FR"/>
        </w:rPr>
      </w:pPr>
      <w:r w:rsidRPr="00A66252">
        <w:rPr>
          <w:lang w:val="fr-FR"/>
        </w:rPr>
        <w:fldChar w:fldCharType="begin"/>
      </w:r>
      <w:r w:rsidRPr="00A66252">
        <w:rPr>
          <w:lang w:val="fr-FR"/>
        </w:rPr>
        <w:instrText xml:space="preserve"> SEQ level0 \*arabic </w:instrText>
      </w:r>
      <w:r w:rsidRPr="00A66252">
        <w:rPr>
          <w:lang w:val="fr-FR"/>
        </w:rPr>
        <w:fldChar w:fldCharType="separate"/>
      </w:r>
      <w:r w:rsidR="00A66252" w:rsidRPr="00A66252">
        <w:rPr>
          <w:noProof/>
          <w:lang w:val="fr-FR"/>
        </w:rPr>
        <w:t>235</w:t>
      </w:r>
      <w:r w:rsidRPr="00A66252">
        <w:rPr>
          <w:lang w:val="fr-FR"/>
        </w:rPr>
        <w:fldChar w:fldCharType="end"/>
      </w:r>
      <w:r w:rsidRPr="00A66252">
        <w:rPr>
          <w:lang w:val="fr-FR"/>
        </w:rPr>
        <w:t>.  </w:t>
      </w:r>
      <w:r w:rsidR="00E77CB3" w:rsidRPr="00A66252">
        <w:rPr>
          <w:lang w:val="fr-FR"/>
        </w:rPr>
        <w:t>La Cour juge approprié de calquer le taux des intérêts moratoires sur le taux d</w:t>
      </w:r>
      <w:r w:rsidR="00A66252" w:rsidRPr="00A66252">
        <w:rPr>
          <w:lang w:val="fr-FR"/>
        </w:rPr>
        <w:t>’</w:t>
      </w:r>
      <w:r w:rsidR="00E77CB3" w:rsidRPr="00A66252">
        <w:rPr>
          <w:lang w:val="fr-FR"/>
        </w:rPr>
        <w:t>intérêt de la facilité de prêt marginal de la Banque centrale européenne majoré de trois points de pourcentage.</w:t>
      </w:r>
    </w:p>
    <w:p w:rsidR="00CC7DE1" w:rsidRPr="00A66252" w:rsidRDefault="00CC7DE1" w:rsidP="00A66252">
      <w:pPr>
        <w:pStyle w:val="ECHRTitle1"/>
        <w:rPr>
          <w:lang w:val="fr-FR"/>
        </w:rPr>
      </w:pPr>
      <w:r w:rsidRPr="00A66252">
        <w:rPr>
          <w:lang w:val="fr-FR"/>
        </w:rPr>
        <w:t>PAR CES MO</w:t>
      </w:r>
      <w:r w:rsidR="00F67322" w:rsidRPr="00A66252">
        <w:rPr>
          <w:lang w:val="fr-FR"/>
        </w:rPr>
        <w:t>TIFS, LA COUR</w:t>
      </w:r>
      <w:r w:rsidRPr="00A66252">
        <w:rPr>
          <w:lang w:val="fr-FR"/>
        </w:rPr>
        <w:t>, À L</w:t>
      </w:r>
      <w:r w:rsidR="00A66252" w:rsidRPr="00A66252">
        <w:rPr>
          <w:lang w:val="fr-FR"/>
        </w:rPr>
        <w:t>’</w:t>
      </w:r>
      <w:r w:rsidRPr="00A66252">
        <w:rPr>
          <w:lang w:val="fr-FR"/>
        </w:rPr>
        <w:t>UNANIMITÉ,</w:t>
      </w:r>
    </w:p>
    <w:p w:rsidR="00E77CB3" w:rsidRPr="00A66252" w:rsidRDefault="00CC7DE1" w:rsidP="00A66252">
      <w:pPr>
        <w:pStyle w:val="JuList"/>
        <w:rPr>
          <w:lang w:val="fr-FR"/>
        </w:rPr>
      </w:pPr>
      <w:r w:rsidRPr="00A66252">
        <w:rPr>
          <w:lang w:val="fr-FR"/>
        </w:rPr>
        <w:t>1.  </w:t>
      </w:r>
      <w:r w:rsidRPr="00A66252">
        <w:rPr>
          <w:i/>
          <w:lang w:val="fr-FR"/>
        </w:rPr>
        <w:t>Dit</w:t>
      </w:r>
      <w:r w:rsidRPr="00A66252">
        <w:rPr>
          <w:lang w:val="fr-FR"/>
        </w:rPr>
        <w:t xml:space="preserve"> </w:t>
      </w:r>
      <w:r w:rsidR="00254093" w:rsidRPr="00A66252">
        <w:rPr>
          <w:lang w:val="fr-FR"/>
        </w:rPr>
        <w:t>qu</w:t>
      </w:r>
      <w:r w:rsidR="00A66252" w:rsidRPr="00A66252">
        <w:rPr>
          <w:lang w:val="fr-FR"/>
        </w:rPr>
        <w:t>’</w:t>
      </w:r>
      <w:r w:rsidR="00254093" w:rsidRPr="00A66252">
        <w:rPr>
          <w:lang w:val="fr-FR"/>
        </w:rPr>
        <w:t xml:space="preserve">il y aurait </w:t>
      </w:r>
      <w:r w:rsidR="00001646" w:rsidRPr="00A66252">
        <w:rPr>
          <w:lang w:val="fr-FR"/>
        </w:rPr>
        <w:t xml:space="preserve">eu </w:t>
      </w:r>
      <w:r w:rsidR="00254093" w:rsidRPr="00A66252">
        <w:rPr>
          <w:lang w:val="fr-FR"/>
        </w:rPr>
        <w:t>violation de l</w:t>
      </w:r>
      <w:r w:rsidR="00A66252" w:rsidRPr="00A66252">
        <w:rPr>
          <w:lang w:val="fr-FR"/>
        </w:rPr>
        <w:t>’</w:t>
      </w:r>
      <w:r w:rsidR="00254093" w:rsidRPr="00A66252">
        <w:rPr>
          <w:lang w:val="fr-FR"/>
        </w:rPr>
        <w:t xml:space="preserve">article 3 de la Convention si le requérant </w:t>
      </w:r>
      <w:r w:rsidR="00001646" w:rsidRPr="00A66252">
        <w:rPr>
          <w:lang w:val="fr-FR"/>
        </w:rPr>
        <w:t xml:space="preserve">avait </w:t>
      </w:r>
      <w:r w:rsidR="007C1214" w:rsidRPr="00A66252">
        <w:rPr>
          <w:lang w:val="fr-FR"/>
        </w:rPr>
        <w:t>été éloigné</w:t>
      </w:r>
      <w:r w:rsidR="00254093" w:rsidRPr="00A66252">
        <w:rPr>
          <w:lang w:val="fr-FR"/>
        </w:rPr>
        <w:t xml:space="preserve"> </w:t>
      </w:r>
      <w:r w:rsidR="007C5D04" w:rsidRPr="00A66252">
        <w:rPr>
          <w:lang w:val="fr-FR"/>
        </w:rPr>
        <w:t>vers la</w:t>
      </w:r>
      <w:r w:rsidR="00254093" w:rsidRPr="00A66252">
        <w:rPr>
          <w:lang w:val="fr-FR"/>
        </w:rPr>
        <w:t xml:space="preserve"> Géorgie sans que les autorités belges </w:t>
      </w:r>
      <w:r w:rsidR="007C1214" w:rsidRPr="00A66252">
        <w:rPr>
          <w:lang w:val="fr-FR"/>
        </w:rPr>
        <w:t xml:space="preserve">eussent </w:t>
      </w:r>
      <w:r w:rsidR="001F3C2F" w:rsidRPr="00A66252">
        <w:rPr>
          <w:lang w:val="fr-FR"/>
        </w:rPr>
        <w:t>évalué</w:t>
      </w:r>
      <w:r w:rsidR="00796BD8" w:rsidRPr="00A66252">
        <w:rPr>
          <w:lang w:val="fr-FR"/>
        </w:rPr>
        <w:t>, conformément à cette disposition,</w:t>
      </w:r>
      <w:r w:rsidR="001F3C2F" w:rsidRPr="00A66252">
        <w:rPr>
          <w:lang w:val="fr-FR"/>
        </w:rPr>
        <w:t xml:space="preserve"> le risque </w:t>
      </w:r>
      <w:r w:rsidR="00CB20CF" w:rsidRPr="00A66252">
        <w:rPr>
          <w:lang w:val="fr-FR"/>
        </w:rPr>
        <w:t>encouru par lui à la lumière des données relatives à son état de santé et à l</w:t>
      </w:r>
      <w:r w:rsidR="00A66252" w:rsidRPr="00A66252">
        <w:rPr>
          <w:lang w:val="fr-FR"/>
        </w:rPr>
        <w:t>’</w:t>
      </w:r>
      <w:r w:rsidR="00CB20CF" w:rsidRPr="00A66252">
        <w:rPr>
          <w:lang w:val="fr-FR"/>
        </w:rPr>
        <w:t xml:space="preserve">existence de traitements </w:t>
      </w:r>
      <w:r w:rsidR="00F12590" w:rsidRPr="00A66252">
        <w:rPr>
          <w:lang w:val="fr-FR"/>
        </w:rPr>
        <w:t>adéquats</w:t>
      </w:r>
      <w:r w:rsidR="00CB20CF" w:rsidRPr="00A66252">
        <w:rPr>
          <w:lang w:val="fr-FR"/>
        </w:rPr>
        <w:t xml:space="preserve"> en Géorgie</w:t>
      </w:r>
      <w:r w:rsidR="00B97583" w:rsidRPr="00A66252">
        <w:rPr>
          <w:lang w:val="fr-FR"/>
        </w:rPr>
        <w:t> </w:t>
      </w:r>
      <w:r w:rsidR="00E77CB3" w:rsidRPr="00A66252">
        <w:rPr>
          <w:lang w:val="fr-FR"/>
        </w:rPr>
        <w:t>;</w:t>
      </w:r>
    </w:p>
    <w:p w:rsidR="00E77CB3" w:rsidRPr="00A66252" w:rsidRDefault="00E77CB3" w:rsidP="00A66252">
      <w:pPr>
        <w:pStyle w:val="JuList"/>
        <w:rPr>
          <w:lang w:val="fr-FR"/>
        </w:rPr>
      </w:pPr>
    </w:p>
    <w:p w:rsidR="00E77CB3" w:rsidRPr="00A66252" w:rsidRDefault="00197DE3" w:rsidP="00A66252">
      <w:pPr>
        <w:pStyle w:val="JuList"/>
        <w:rPr>
          <w:lang w:val="fr-FR"/>
        </w:rPr>
      </w:pPr>
      <w:r w:rsidRPr="00A66252">
        <w:rPr>
          <w:lang w:val="fr-FR"/>
        </w:rPr>
        <w:t>2</w:t>
      </w:r>
      <w:r w:rsidR="00E77CB3" w:rsidRPr="00A66252">
        <w:rPr>
          <w:lang w:val="fr-FR"/>
        </w:rPr>
        <w:t>.  </w:t>
      </w:r>
      <w:r w:rsidR="00E77CB3" w:rsidRPr="00A66252">
        <w:rPr>
          <w:i/>
          <w:lang w:val="fr-FR"/>
        </w:rPr>
        <w:t>Dit</w:t>
      </w:r>
      <w:r w:rsidR="00E77CB3" w:rsidRPr="00A66252">
        <w:rPr>
          <w:lang w:val="fr-FR"/>
        </w:rPr>
        <w:t xml:space="preserve"> qu</w:t>
      </w:r>
      <w:r w:rsidR="00A66252" w:rsidRPr="00A66252">
        <w:rPr>
          <w:lang w:val="fr-FR"/>
        </w:rPr>
        <w:t>’</w:t>
      </w:r>
      <w:r w:rsidR="00E77CB3" w:rsidRPr="00A66252">
        <w:rPr>
          <w:lang w:val="fr-FR"/>
        </w:rPr>
        <w:t>il n</w:t>
      </w:r>
      <w:r w:rsidR="00A66252" w:rsidRPr="00A66252">
        <w:rPr>
          <w:lang w:val="fr-FR"/>
        </w:rPr>
        <w:t>’</w:t>
      </w:r>
      <w:r w:rsidR="00E77CB3" w:rsidRPr="00A66252">
        <w:rPr>
          <w:lang w:val="fr-FR"/>
        </w:rPr>
        <w:t>y a pas lieu d</w:t>
      </w:r>
      <w:r w:rsidR="00A66252" w:rsidRPr="00A66252">
        <w:rPr>
          <w:lang w:val="fr-FR"/>
        </w:rPr>
        <w:t>’</w:t>
      </w:r>
      <w:r w:rsidR="00E77CB3" w:rsidRPr="00A66252">
        <w:rPr>
          <w:lang w:val="fr-FR"/>
        </w:rPr>
        <w:t>examiner le grief tiré de l</w:t>
      </w:r>
      <w:r w:rsidR="00A66252" w:rsidRPr="00A66252">
        <w:rPr>
          <w:lang w:val="fr-FR"/>
        </w:rPr>
        <w:t>’</w:t>
      </w:r>
      <w:r w:rsidR="00E77CB3" w:rsidRPr="00A66252">
        <w:rPr>
          <w:lang w:val="fr-FR"/>
        </w:rPr>
        <w:t xml:space="preserve">article </w:t>
      </w:r>
      <w:r w:rsidRPr="00A66252">
        <w:rPr>
          <w:lang w:val="fr-FR"/>
        </w:rPr>
        <w:t>2</w:t>
      </w:r>
      <w:r w:rsidR="00E77CB3" w:rsidRPr="00A66252">
        <w:rPr>
          <w:lang w:val="fr-FR"/>
        </w:rPr>
        <w:t xml:space="preserve"> de la Convention ;</w:t>
      </w:r>
    </w:p>
    <w:p w:rsidR="00C53558" w:rsidRPr="00A66252" w:rsidRDefault="00C53558" w:rsidP="00A66252">
      <w:pPr>
        <w:pStyle w:val="JuList"/>
        <w:rPr>
          <w:lang w:val="fr-FR"/>
        </w:rPr>
      </w:pPr>
    </w:p>
    <w:p w:rsidR="00C53558" w:rsidRPr="00A66252" w:rsidRDefault="00C53558" w:rsidP="00A66252">
      <w:pPr>
        <w:pStyle w:val="JuList"/>
        <w:rPr>
          <w:lang w:val="fr-FR"/>
        </w:rPr>
      </w:pPr>
      <w:r w:rsidRPr="00A66252">
        <w:rPr>
          <w:lang w:val="fr-FR"/>
        </w:rPr>
        <w:t xml:space="preserve">3. </w:t>
      </w:r>
      <w:r w:rsidRPr="00A66252">
        <w:rPr>
          <w:i/>
          <w:lang w:val="fr-FR"/>
        </w:rPr>
        <w:t>Dit</w:t>
      </w:r>
      <w:r w:rsidRPr="00A66252">
        <w:rPr>
          <w:lang w:val="fr-FR"/>
        </w:rPr>
        <w:t xml:space="preserve"> qu</w:t>
      </w:r>
      <w:r w:rsidR="00A66252" w:rsidRPr="00A66252">
        <w:rPr>
          <w:lang w:val="fr-FR"/>
        </w:rPr>
        <w:t>’</w:t>
      </w:r>
      <w:r w:rsidRPr="00A66252">
        <w:rPr>
          <w:lang w:val="fr-FR"/>
        </w:rPr>
        <w:t xml:space="preserve">il y aurait </w:t>
      </w:r>
      <w:r w:rsidR="00001646" w:rsidRPr="00A66252">
        <w:rPr>
          <w:lang w:val="fr-FR"/>
        </w:rPr>
        <w:t xml:space="preserve">eu </w:t>
      </w:r>
      <w:r w:rsidRPr="00A66252">
        <w:rPr>
          <w:lang w:val="fr-FR"/>
        </w:rPr>
        <w:t>violation de l</w:t>
      </w:r>
      <w:r w:rsidR="00A66252" w:rsidRPr="00A66252">
        <w:rPr>
          <w:lang w:val="fr-FR"/>
        </w:rPr>
        <w:t>’</w:t>
      </w:r>
      <w:r w:rsidRPr="00A66252">
        <w:rPr>
          <w:lang w:val="fr-FR"/>
        </w:rPr>
        <w:t xml:space="preserve">article 8 de la Convention si le requérant </w:t>
      </w:r>
      <w:r w:rsidR="007C1214" w:rsidRPr="00A66252">
        <w:rPr>
          <w:lang w:val="fr-FR"/>
        </w:rPr>
        <w:t>avait été éloigné</w:t>
      </w:r>
      <w:r w:rsidRPr="00A66252">
        <w:rPr>
          <w:lang w:val="fr-FR"/>
        </w:rPr>
        <w:t xml:space="preserve"> </w:t>
      </w:r>
      <w:r w:rsidR="007C5D04" w:rsidRPr="00A66252">
        <w:rPr>
          <w:lang w:val="fr-FR"/>
        </w:rPr>
        <w:t>vers la</w:t>
      </w:r>
      <w:r w:rsidR="00A66252" w:rsidRPr="00A66252">
        <w:rPr>
          <w:lang w:val="fr-FR"/>
        </w:rPr>
        <w:t xml:space="preserve"> </w:t>
      </w:r>
      <w:r w:rsidRPr="00A66252">
        <w:rPr>
          <w:lang w:val="fr-FR"/>
        </w:rPr>
        <w:t xml:space="preserve">Géorgie sans que les autorités belges </w:t>
      </w:r>
      <w:r w:rsidR="007C1214" w:rsidRPr="00A66252">
        <w:rPr>
          <w:lang w:val="fr-FR"/>
        </w:rPr>
        <w:t xml:space="preserve">eussent </w:t>
      </w:r>
      <w:r w:rsidRPr="00A66252">
        <w:rPr>
          <w:lang w:val="fr-FR"/>
        </w:rPr>
        <w:t>évalué, conformément à cette disposition, l</w:t>
      </w:r>
      <w:r w:rsidR="00A66252" w:rsidRPr="00A66252">
        <w:rPr>
          <w:lang w:val="fr-FR"/>
        </w:rPr>
        <w:t>’</w:t>
      </w:r>
      <w:r w:rsidRPr="00A66252">
        <w:rPr>
          <w:lang w:val="fr-FR"/>
        </w:rPr>
        <w:t>impact de l</w:t>
      </w:r>
      <w:r w:rsidR="00A66252" w:rsidRPr="00A66252">
        <w:rPr>
          <w:lang w:val="fr-FR"/>
        </w:rPr>
        <w:t>’</w:t>
      </w:r>
      <w:r w:rsidRPr="00A66252">
        <w:rPr>
          <w:lang w:val="fr-FR"/>
        </w:rPr>
        <w:t>éloignement sur le droit du requérant au respect de sa vie familiale compte tenu de son état de santé ;</w:t>
      </w:r>
    </w:p>
    <w:p w:rsidR="00F12590" w:rsidRPr="00A66252" w:rsidRDefault="00F12590" w:rsidP="00A66252">
      <w:pPr>
        <w:pStyle w:val="JuList"/>
        <w:rPr>
          <w:lang w:val="fr-FR"/>
        </w:rPr>
      </w:pPr>
    </w:p>
    <w:p w:rsidR="002A4CEB" w:rsidRPr="00A66252" w:rsidRDefault="00197DE3" w:rsidP="00A66252">
      <w:pPr>
        <w:pStyle w:val="JuList"/>
        <w:rPr>
          <w:lang w:val="fr-FR"/>
        </w:rPr>
      </w:pPr>
      <w:r w:rsidRPr="00A66252">
        <w:rPr>
          <w:lang w:val="fr-FR"/>
        </w:rPr>
        <w:t>4.  </w:t>
      </w:r>
      <w:r w:rsidRPr="00A66252">
        <w:rPr>
          <w:i/>
          <w:lang w:val="fr-FR"/>
        </w:rPr>
        <w:t>Dit</w:t>
      </w:r>
      <w:r w:rsidRPr="00A66252">
        <w:rPr>
          <w:lang w:val="fr-FR"/>
        </w:rPr>
        <w:t xml:space="preserve"> que la conclusion de la Cour au</w:t>
      </w:r>
      <w:r w:rsidR="003D09B9" w:rsidRPr="00A66252">
        <w:rPr>
          <w:lang w:val="fr-FR"/>
        </w:rPr>
        <w:t>x</w:t>
      </w:r>
      <w:r w:rsidRPr="00A66252">
        <w:rPr>
          <w:lang w:val="fr-FR"/>
        </w:rPr>
        <w:t xml:space="preserve"> point</w:t>
      </w:r>
      <w:r w:rsidR="003D09B9" w:rsidRPr="00A66252">
        <w:rPr>
          <w:lang w:val="fr-FR"/>
        </w:rPr>
        <w:t>s</w:t>
      </w:r>
      <w:r w:rsidRPr="00A66252">
        <w:rPr>
          <w:lang w:val="fr-FR"/>
        </w:rPr>
        <w:t xml:space="preserve"> 1 </w:t>
      </w:r>
      <w:r w:rsidR="003D09B9" w:rsidRPr="00A66252">
        <w:rPr>
          <w:lang w:val="fr-FR"/>
        </w:rPr>
        <w:t xml:space="preserve">et 3 </w:t>
      </w:r>
      <w:r w:rsidRPr="00A66252">
        <w:rPr>
          <w:lang w:val="fr-FR"/>
        </w:rPr>
        <w:t xml:space="preserve">ci-dessus constitue en soi une satisfaction équitable suffisante pour tout dommage moral </w:t>
      </w:r>
      <w:r w:rsidR="007C1214" w:rsidRPr="00A66252">
        <w:rPr>
          <w:lang w:val="fr-FR"/>
        </w:rPr>
        <w:t>que</w:t>
      </w:r>
      <w:r w:rsidRPr="00A66252">
        <w:rPr>
          <w:lang w:val="fr-FR"/>
        </w:rPr>
        <w:t xml:space="preserve"> le requérant </w:t>
      </w:r>
      <w:r w:rsidR="007C1214" w:rsidRPr="00A66252">
        <w:rPr>
          <w:lang w:val="fr-FR"/>
        </w:rPr>
        <w:t xml:space="preserve">aurait pu avoir subi </w:t>
      </w:r>
      <w:r w:rsidRPr="00A66252">
        <w:rPr>
          <w:lang w:val="fr-FR"/>
        </w:rPr>
        <w:t>;</w:t>
      </w:r>
    </w:p>
    <w:p w:rsidR="00E77CB3" w:rsidRPr="00A66252" w:rsidRDefault="00E77CB3" w:rsidP="00A66252">
      <w:pPr>
        <w:pStyle w:val="JuList"/>
        <w:rPr>
          <w:lang w:val="fr-FR"/>
        </w:rPr>
      </w:pPr>
    </w:p>
    <w:p w:rsidR="00E77CB3" w:rsidRPr="00A66252" w:rsidRDefault="00197DE3" w:rsidP="00A66252">
      <w:pPr>
        <w:pStyle w:val="JuList"/>
        <w:rPr>
          <w:lang w:val="fr-FR"/>
        </w:rPr>
      </w:pPr>
      <w:r w:rsidRPr="00A66252">
        <w:rPr>
          <w:lang w:val="fr-FR"/>
        </w:rPr>
        <w:t>5</w:t>
      </w:r>
      <w:r w:rsidR="00E77CB3" w:rsidRPr="00A66252">
        <w:rPr>
          <w:lang w:val="fr-FR"/>
        </w:rPr>
        <w:t>.  </w:t>
      </w:r>
      <w:r w:rsidR="00E77CB3" w:rsidRPr="00A66252">
        <w:rPr>
          <w:i/>
          <w:lang w:val="fr-FR"/>
        </w:rPr>
        <w:t>Dit</w:t>
      </w:r>
      <w:r w:rsidR="003D09B9" w:rsidRPr="00A66252">
        <w:rPr>
          <w:lang w:val="fr-FR"/>
        </w:rPr>
        <w:t>,</w:t>
      </w:r>
    </w:p>
    <w:p w:rsidR="00197DE3" w:rsidRPr="00A66252" w:rsidRDefault="00E77CB3" w:rsidP="00A66252">
      <w:pPr>
        <w:pStyle w:val="JuListi"/>
        <w:ind w:left="720"/>
        <w:rPr>
          <w:lang w:val="fr-FR" w:eastAsia="en-GB"/>
        </w:rPr>
      </w:pPr>
      <w:r w:rsidRPr="00A66252">
        <w:rPr>
          <w:lang w:val="fr-FR"/>
        </w:rPr>
        <w:t>a)  que l</w:t>
      </w:r>
      <w:r w:rsidR="00A66252" w:rsidRPr="00A66252">
        <w:rPr>
          <w:lang w:val="fr-FR"/>
        </w:rPr>
        <w:t>’</w:t>
      </w:r>
      <w:r w:rsidRPr="00A66252">
        <w:rPr>
          <w:lang w:val="fr-FR"/>
        </w:rPr>
        <w:t xml:space="preserve">État défendeur doit verser </w:t>
      </w:r>
      <w:r w:rsidR="007C1214" w:rsidRPr="00A66252">
        <w:rPr>
          <w:lang w:val="fr-FR"/>
        </w:rPr>
        <w:t xml:space="preserve">à la </w:t>
      </w:r>
      <w:r w:rsidR="000A5697" w:rsidRPr="00A66252">
        <w:rPr>
          <w:lang w:val="fr-FR"/>
        </w:rPr>
        <w:t>famille</w:t>
      </w:r>
      <w:r w:rsidR="007C1214" w:rsidRPr="00A66252">
        <w:rPr>
          <w:lang w:val="fr-FR"/>
        </w:rPr>
        <w:t xml:space="preserve"> du </w:t>
      </w:r>
      <w:r w:rsidR="002A4CEB" w:rsidRPr="00A66252">
        <w:rPr>
          <w:lang w:val="fr-FR"/>
        </w:rPr>
        <w:t>requérant</w:t>
      </w:r>
      <w:r w:rsidRPr="00A66252">
        <w:rPr>
          <w:lang w:val="fr-FR"/>
        </w:rPr>
        <w:t xml:space="preserve">, dans les trois mois, </w:t>
      </w:r>
      <w:r w:rsidR="00083651" w:rsidRPr="00A66252">
        <w:rPr>
          <w:lang w:val="fr-FR"/>
        </w:rPr>
        <w:t>5 000</w:t>
      </w:r>
      <w:r w:rsidR="00197DE3" w:rsidRPr="00A66252">
        <w:rPr>
          <w:lang w:val="fr-FR"/>
        </w:rPr>
        <w:t xml:space="preserve"> EUR (</w:t>
      </w:r>
      <w:r w:rsidR="00083651" w:rsidRPr="00A66252">
        <w:rPr>
          <w:lang w:val="fr-FR"/>
        </w:rPr>
        <w:t>cinq</w:t>
      </w:r>
      <w:r w:rsidR="00197DE3" w:rsidRPr="00A66252">
        <w:rPr>
          <w:lang w:val="fr-FR"/>
        </w:rPr>
        <w:t xml:space="preserve"> mille euros) </w:t>
      </w:r>
      <w:r w:rsidR="00197DE3" w:rsidRPr="00A66252">
        <w:rPr>
          <w:lang w:val="fr-FR" w:eastAsia="en-GB"/>
        </w:rPr>
        <w:t xml:space="preserve">plus tout montant pouvant être dû </w:t>
      </w:r>
      <w:r w:rsidR="00070476" w:rsidRPr="00A66252">
        <w:rPr>
          <w:lang w:val="fr-FR" w:eastAsia="en-GB"/>
        </w:rPr>
        <w:t xml:space="preserve">par elle </w:t>
      </w:r>
      <w:r w:rsidR="00197DE3" w:rsidRPr="00A66252">
        <w:rPr>
          <w:lang w:val="fr-FR" w:eastAsia="en-GB"/>
        </w:rPr>
        <w:t>à titre d</w:t>
      </w:r>
      <w:r w:rsidR="00A66252" w:rsidRPr="00A66252">
        <w:rPr>
          <w:lang w:val="fr-FR" w:eastAsia="en-GB"/>
        </w:rPr>
        <w:t>’</w:t>
      </w:r>
      <w:r w:rsidR="00197DE3" w:rsidRPr="00A66252">
        <w:rPr>
          <w:lang w:val="fr-FR" w:eastAsia="en-GB"/>
        </w:rPr>
        <w:t>impôt, pour frais et dépens ;</w:t>
      </w:r>
    </w:p>
    <w:p w:rsidR="00E77CB3" w:rsidRPr="00A66252" w:rsidRDefault="00E77CB3" w:rsidP="00A66252">
      <w:pPr>
        <w:pStyle w:val="JuLista"/>
        <w:ind w:left="720"/>
        <w:rPr>
          <w:lang w:val="fr-FR"/>
        </w:rPr>
      </w:pPr>
      <w:r w:rsidRPr="00A66252">
        <w:rPr>
          <w:lang w:val="fr-FR"/>
        </w:rPr>
        <w:t>b)  qu</w:t>
      </w:r>
      <w:r w:rsidR="00A66252" w:rsidRPr="00A66252">
        <w:rPr>
          <w:lang w:val="fr-FR"/>
        </w:rPr>
        <w:t>’</w:t>
      </w:r>
      <w:r w:rsidRPr="00A66252">
        <w:rPr>
          <w:lang w:val="fr-FR"/>
        </w:rPr>
        <w:t>à compter de l</w:t>
      </w:r>
      <w:r w:rsidR="00A66252" w:rsidRPr="00A66252">
        <w:rPr>
          <w:lang w:val="fr-FR"/>
        </w:rPr>
        <w:t>’</w:t>
      </w:r>
      <w:r w:rsidRPr="00A66252">
        <w:rPr>
          <w:lang w:val="fr-FR"/>
        </w:rPr>
        <w:t>expiration dudit délai et jusqu</w:t>
      </w:r>
      <w:r w:rsidR="00A66252" w:rsidRPr="00A66252">
        <w:rPr>
          <w:lang w:val="fr-FR"/>
        </w:rPr>
        <w:t>’</w:t>
      </w:r>
      <w:r w:rsidRPr="00A66252">
        <w:rPr>
          <w:lang w:val="fr-FR"/>
        </w:rPr>
        <w:t>au versement, ce montant ser</w:t>
      </w:r>
      <w:r w:rsidR="00932DA2" w:rsidRPr="00A66252">
        <w:rPr>
          <w:lang w:val="fr-FR"/>
        </w:rPr>
        <w:t xml:space="preserve">a </w:t>
      </w:r>
      <w:r w:rsidRPr="00A66252">
        <w:rPr>
          <w:lang w:val="fr-FR"/>
        </w:rPr>
        <w:t>à majorer d</w:t>
      </w:r>
      <w:r w:rsidR="00A66252" w:rsidRPr="00A66252">
        <w:rPr>
          <w:lang w:val="fr-FR"/>
        </w:rPr>
        <w:t>’</w:t>
      </w:r>
      <w:r w:rsidRPr="00A66252">
        <w:rPr>
          <w:lang w:val="fr-FR"/>
        </w:rPr>
        <w:t xml:space="preserve">un intérêt simple à un taux égal à celui de la facilité de prêt marginal de la Banque centrale européenne </w:t>
      </w:r>
      <w:r w:rsidRPr="00A66252">
        <w:rPr>
          <w:lang w:val="fr-FR"/>
        </w:rPr>
        <w:lastRenderedPageBreak/>
        <w:t>applicable pendant cette période, augmenté de trois points de pourcentage ;</w:t>
      </w:r>
    </w:p>
    <w:p w:rsidR="00E77CB3" w:rsidRPr="00A66252" w:rsidRDefault="00E77CB3" w:rsidP="00A66252">
      <w:pPr>
        <w:pStyle w:val="JuLista"/>
        <w:rPr>
          <w:strike/>
          <w:lang w:val="fr-FR"/>
        </w:rPr>
      </w:pPr>
    </w:p>
    <w:p w:rsidR="00E77CB3" w:rsidRPr="00A66252" w:rsidRDefault="00197DE3" w:rsidP="00A66252">
      <w:pPr>
        <w:pStyle w:val="JuList"/>
        <w:rPr>
          <w:lang w:val="fr-FR"/>
        </w:rPr>
      </w:pPr>
      <w:r w:rsidRPr="00A66252">
        <w:rPr>
          <w:lang w:val="fr-FR"/>
        </w:rPr>
        <w:t>6</w:t>
      </w:r>
      <w:r w:rsidR="00E77CB3" w:rsidRPr="00A66252">
        <w:rPr>
          <w:lang w:val="fr-FR"/>
        </w:rPr>
        <w:t>.  </w:t>
      </w:r>
      <w:r w:rsidR="00E77CB3" w:rsidRPr="00A66252">
        <w:rPr>
          <w:i/>
          <w:lang w:val="fr-FR"/>
        </w:rPr>
        <w:t>Rejette</w:t>
      </w:r>
      <w:r w:rsidR="002A4CEB" w:rsidRPr="00A66252">
        <w:rPr>
          <w:lang w:val="fr-FR"/>
        </w:rPr>
        <w:t xml:space="preserve"> </w:t>
      </w:r>
      <w:r w:rsidR="00E77CB3" w:rsidRPr="00A66252">
        <w:rPr>
          <w:lang w:val="fr-FR"/>
        </w:rPr>
        <w:t>la demande de satisfaction équitable pour le surplus.</w:t>
      </w:r>
    </w:p>
    <w:p w:rsidR="00E77CB3" w:rsidRPr="00A66252" w:rsidRDefault="00932DA2" w:rsidP="00A66252">
      <w:pPr>
        <w:pStyle w:val="JuParaLast"/>
        <w:rPr>
          <w:lang w:val="fr-FR"/>
        </w:rPr>
      </w:pPr>
      <w:r w:rsidRPr="00A66252">
        <w:rPr>
          <w:lang w:val="fr-FR"/>
        </w:rPr>
        <w:t>Fait en français et en anglais, puis prononcé en audience publique au Palais des droits de l</w:t>
      </w:r>
      <w:r w:rsidR="00A66252" w:rsidRPr="00A66252">
        <w:rPr>
          <w:lang w:val="fr-FR"/>
        </w:rPr>
        <w:t>’</w:t>
      </w:r>
      <w:r w:rsidRPr="00A66252">
        <w:rPr>
          <w:lang w:val="fr-FR"/>
        </w:rPr>
        <w:t>homme, à Strasbourg, le</w:t>
      </w:r>
      <w:r w:rsidR="00E77CB3" w:rsidRPr="00A66252">
        <w:rPr>
          <w:lang w:val="fr-FR"/>
        </w:rPr>
        <w:t> </w:t>
      </w:r>
      <w:r w:rsidR="00341B01" w:rsidRPr="00A66252">
        <w:rPr>
          <w:lang w:val="fr-FR"/>
        </w:rPr>
        <w:t>13 décembre 2016</w:t>
      </w:r>
      <w:r w:rsidR="00E77CB3" w:rsidRPr="00A66252">
        <w:rPr>
          <w:lang w:val="fr-FR"/>
        </w:rPr>
        <w:t>.</w:t>
      </w:r>
    </w:p>
    <w:p w:rsidR="00E77CB3" w:rsidRPr="00A66252" w:rsidRDefault="002A4CEB" w:rsidP="00A66252">
      <w:pPr>
        <w:pStyle w:val="JuSigned"/>
        <w:keepNext/>
        <w:keepLines/>
        <w:rPr>
          <w:lang w:val="fr-FR"/>
        </w:rPr>
      </w:pPr>
      <w:r w:rsidRPr="00A66252">
        <w:rPr>
          <w:lang w:val="fr-FR"/>
        </w:rPr>
        <w:tab/>
        <w:t>Johan Callewaert</w:t>
      </w:r>
      <w:r w:rsidR="00E77CB3" w:rsidRPr="00A66252">
        <w:rPr>
          <w:lang w:val="fr-FR"/>
        </w:rPr>
        <w:tab/>
      </w:r>
      <w:r w:rsidR="004C1992" w:rsidRPr="00A66252">
        <w:rPr>
          <w:lang w:val="fr-FR"/>
        </w:rPr>
        <w:t>Guido Raimondi</w:t>
      </w:r>
      <w:r w:rsidR="00E77CB3" w:rsidRPr="00A66252">
        <w:rPr>
          <w:lang w:val="fr-FR"/>
        </w:rPr>
        <w:br/>
      </w:r>
      <w:r w:rsidR="00E77CB3" w:rsidRPr="00A66252">
        <w:rPr>
          <w:lang w:val="fr-FR"/>
        </w:rPr>
        <w:tab/>
      </w:r>
      <w:r w:rsidR="0007002D" w:rsidRPr="00A66252">
        <w:rPr>
          <w:lang w:val="fr-FR"/>
        </w:rPr>
        <w:t>Adjoint au g</w:t>
      </w:r>
      <w:r w:rsidRPr="00A66252">
        <w:rPr>
          <w:iCs/>
          <w:lang w:val="fr-FR"/>
        </w:rPr>
        <w:t>reffier</w:t>
      </w:r>
      <w:r w:rsidR="00E77CB3" w:rsidRPr="00A66252">
        <w:rPr>
          <w:lang w:val="fr-FR"/>
        </w:rPr>
        <w:tab/>
      </w:r>
      <w:r w:rsidRPr="00A66252">
        <w:rPr>
          <w:lang w:val="fr-FR"/>
        </w:rPr>
        <w:t>Président</w:t>
      </w:r>
    </w:p>
    <w:p w:rsidR="004D15F3" w:rsidRPr="00A66252" w:rsidRDefault="004D15F3" w:rsidP="00A66252">
      <w:pPr>
        <w:rPr>
          <w:lang w:val="fr-FR"/>
        </w:rPr>
      </w:pPr>
    </w:p>
    <w:p w:rsidR="00B97583" w:rsidRPr="00A66252" w:rsidRDefault="00B97583" w:rsidP="00A66252">
      <w:pPr>
        <w:pStyle w:val="JuParaLast"/>
        <w:rPr>
          <w:lang w:val="fr-FR"/>
        </w:rPr>
      </w:pPr>
      <w:r w:rsidRPr="00A66252">
        <w:rPr>
          <w:lang w:val="fr-FR"/>
        </w:rPr>
        <w:t>Au présent arrêt se trouve joint, conformément aux articles 45 § 2 de la Convention et 74 § 2 du règlement, l</w:t>
      </w:r>
      <w:r w:rsidR="00A66252" w:rsidRPr="00A66252">
        <w:rPr>
          <w:lang w:val="fr-FR"/>
        </w:rPr>
        <w:t>’</w:t>
      </w:r>
      <w:r w:rsidRPr="00A66252">
        <w:rPr>
          <w:lang w:val="fr-FR"/>
        </w:rPr>
        <w:t>exposé de l</w:t>
      </w:r>
      <w:r w:rsidR="00A66252" w:rsidRPr="00A66252">
        <w:rPr>
          <w:lang w:val="fr-FR"/>
        </w:rPr>
        <w:t>’</w:t>
      </w:r>
      <w:r w:rsidRPr="00A66252">
        <w:rPr>
          <w:lang w:val="fr-FR"/>
        </w:rPr>
        <w:t>opinion séparée d</w:t>
      </w:r>
      <w:r w:rsidR="00C55A6E" w:rsidRPr="00A66252">
        <w:rPr>
          <w:lang w:val="fr-FR"/>
        </w:rPr>
        <w:t>u</w:t>
      </w:r>
      <w:r w:rsidRPr="00A66252">
        <w:rPr>
          <w:lang w:val="fr-FR"/>
        </w:rPr>
        <w:t xml:space="preserve"> juge Lemmens.</w:t>
      </w:r>
    </w:p>
    <w:p w:rsidR="00B97583" w:rsidRPr="00A66252" w:rsidRDefault="00B97583" w:rsidP="00A66252">
      <w:pPr>
        <w:pStyle w:val="JuInitialled"/>
        <w:rPr>
          <w:lang w:val="fr-FR"/>
        </w:rPr>
      </w:pPr>
      <w:r w:rsidRPr="00A66252">
        <w:rPr>
          <w:lang w:val="fr-FR"/>
        </w:rPr>
        <w:t>G.R.</w:t>
      </w:r>
      <w:r w:rsidRPr="00A66252">
        <w:rPr>
          <w:lang w:val="fr-FR"/>
        </w:rPr>
        <w:br/>
        <w:t>J.C.</w:t>
      </w:r>
    </w:p>
    <w:p w:rsidR="00B97583" w:rsidRPr="00A66252" w:rsidRDefault="00B97583" w:rsidP="00A66252">
      <w:pPr>
        <w:pStyle w:val="JuInitialled"/>
        <w:rPr>
          <w:lang w:val="fr-FR"/>
        </w:rPr>
        <w:sectPr w:rsidR="00B97583" w:rsidRPr="00A66252" w:rsidSect="009472B8">
          <w:headerReference w:type="even" r:id="rId17"/>
          <w:headerReference w:type="default" r:id="rId18"/>
          <w:footerReference w:type="even" r:id="rId19"/>
          <w:pgSz w:w="11906" w:h="16838" w:code="9"/>
          <w:pgMar w:top="2274" w:right="2274" w:bottom="2274" w:left="2274" w:header="1701" w:footer="720" w:gutter="0"/>
          <w:pgNumType w:start="1"/>
          <w:cols w:space="720"/>
          <w:docGrid w:linePitch="326"/>
        </w:sectPr>
      </w:pPr>
    </w:p>
    <w:p w:rsidR="00B97583" w:rsidRPr="00A66252" w:rsidRDefault="00B97583" w:rsidP="00A66252">
      <w:pPr>
        <w:pStyle w:val="ECHRTitleCentre1"/>
        <w:rPr>
          <w:lang w:val="fr-FR"/>
        </w:rPr>
      </w:pPr>
      <w:r w:rsidRPr="00A66252">
        <w:rPr>
          <w:lang w:val="fr-FR"/>
        </w:rPr>
        <w:lastRenderedPageBreak/>
        <w:t xml:space="preserve">OPINION </w:t>
      </w:r>
      <w:r w:rsidR="008D7318" w:rsidRPr="00A66252">
        <w:rPr>
          <w:lang w:val="fr-FR"/>
        </w:rPr>
        <w:t>CONCORDANTE</w:t>
      </w:r>
      <w:r w:rsidR="00682FF6" w:rsidRPr="00A66252">
        <w:rPr>
          <w:lang w:val="fr-FR"/>
        </w:rPr>
        <w:t xml:space="preserve"> </w:t>
      </w:r>
      <w:r w:rsidR="00C55A6E" w:rsidRPr="00A66252">
        <w:rPr>
          <w:lang w:val="fr-FR"/>
        </w:rPr>
        <w:t>DU</w:t>
      </w:r>
      <w:r w:rsidRPr="00A66252">
        <w:rPr>
          <w:lang w:val="fr-FR"/>
        </w:rPr>
        <w:t xml:space="preserve"> JUGE LEMMENS</w:t>
      </w:r>
    </w:p>
    <w:p w:rsidR="00E149AB" w:rsidRPr="00A66252" w:rsidRDefault="00E149AB" w:rsidP="00A66252">
      <w:pPr>
        <w:pStyle w:val="OpiPara"/>
        <w:rPr>
          <w:lang w:val="fr-FR"/>
        </w:rPr>
      </w:pPr>
      <w:r w:rsidRPr="00A66252">
        <w:rPr>
          <w:lang w:val="fr-FR"/>
        </w:rPr>
        <w:t>1.  J</w:t>
      </w:r>
      <w:r w:rsidR="00A66252" w:rsidRPr="00A66252">
        <w:rPr>
          <w:lang w:val="fr-FR"/>
        </w:rPr>
        <w:t>’</w:t>
      </w:r>
      <w:r w:rsidRPr="00A66252">
        <w:rPr>
          <w:lang w:val="fr-FR"/>
        </w:rPr>
        <w:t>ai voté comme mes collègues de la Grande Chambre pour le constat (rétroactif) d</w:t>
      </w:r>
      <w:r w:rsidR="00A66252" w:rsidRPr="00A66252">
        <w:rPr>
          <w:lang w:val="fr-FR"/>
        </w:rPr>
        <w:t>’</w:t>
      </w:r>
      <w:r w:rsidRPr="00A66252">
        <w:rPr>
          <w:lang w:val="fr-FR"/>
        </w:rPr>
        <w:t>une violation procédurale et conditionnelle tant de l</w:t>
      </w:r>
      <w:r w:rsidR="00A66252" w:rsidRPr="00A66252">
        <w:rPr>
          <w:lang w:val="fr-FR"/>
        </w:rPr>
        <w:t>’</w:t>
      </w:r>
      <w:r w:rsidRPr="00A66252">
        <w:rPr>
          <w:lang w:val="fr-FR"/>
        </w:rPr>
        <w:t>article 3 que de l</w:t>
      </w:r>
      <w:r w:rsidR="00A66252" w:rsidRPr="00A66252">
        <w:rPr>
          <w:lang w:val="fr-FR"/>
        </w:rPr>
        <w:t>’</w:t>
      </w:r>
      <w:r w:rsidRPr="00A66252">
        <w:rPr>
          <w:lang w:val="fr-FR"/>
        </w:rPr>
        <w:t>article 8 de la Convention. Comme j</w:t>
      </w:r>
      <w:r w:rsidR="00A66252" w:rsidRPr="00A66252">
        <w:rPr>
          <w:lang w:val="fr-FR"/>
        </w:rPr>
        <w:t>’</w:t>
      </w:r>
      <w:r w:rsidRPr="00A66252">
        <w:rPr>
          <w:lang w:val="fr-FR"/>
        </w:rPr>
        <w:t>avais fait partie de la chambre et y avais voté pour un constat de non-violation de ces deux articles, je tiens à expliquer brièvement pourquoi j</w:t>
      </w:r>
      <w:r w:rsidR="00A66252" w:rsidRPr="00A66252">
        <w:rPr>
          <w:lang w:val="fr-FR"/>
        </w:rPr>
        <w:t>’</w:t>
      </w:r>
      <w:r w:rsidRPr="00A66252">
        <w:rPr>
          <w:lang w:val="fr-FR"/>
        </w:rPr>
        <w:t>ai changé d</w:t>
      </w:r>
      <w:r w:rsidR="00A66252" w:rsidRPr="00A66252">
        <w:rPr>
          <w:lang w:val="fr-FR"/>
        </w:rPr>
        <w:t>’</w:t>
      </w:r>
      <w:r w:rsidRPr="00A66252">
        <w:rPr>
          <w:lang w:val="fr-FR"/>
        </w:rPr>
        <w:t>avis.</w:t>
      </w:r>
    </w:p>
    <w:p w:rsidR="00E149AB" w:rsidRPr="00A66252" w:rsidRDefault="00E149AB" w:rsidP="00A66252">
      <w:pPr>
        <w:pStyle w:val="OpiPara"/>
        <w:rPr>
          <w:lang w:val="fr-FR"/>
        </w:rPr>
      </w:pPr>
      <w:r w:rsidRPr="00A66252">
        <w:rPr>
          <w:lang w:val="fr-FR"/>
        </w:rPr>
        <w:t>2.  Lors de l</w:t>
      </w:r>
      <w:r w:rsidR="00A66252" w:rsidRPr="00A66252">
        <w:rPr>
          <w:lang w:val="fr-FR"/>
        </w:rPr>
        <w:t>’</w:t>
      </w:r>
      <w:r w:rsidRPr="00A66252">
        <w:rPr>
          <w:lang w:val="fr-FR"/>
        </w:rPr>
        <w:t>examen de l</w:t>
      </w:r>
      <w:r w:rsidR="00A66252" w:rsidRPr="00A66252">
        <w:rPr>
          <w:lang w:val="fr-FR"/>
        </w:rPr>
        <w:t>’</w:t>
      </w:r>
      <w:r w:rsidRPr="00A66252">
        <w:rPr>
          <w:lang w:val="fr-FR"/>
        </w:rPr>
        <w:t>affaire par la chambre, j</w:t>
      </w:r>
      <w:r w:rsidR="00A66252" w:rsidRPr="00A66252">
        <w:rPr>
          <w:lang w:val="fr-FR"/>
        </w:rPr>
        <w:t>’</w:t>
      </w:r>
      <w:r w:rsidRPr="00A66252">
        <w:rPr>
          <w:lang w:val="fr-FR"/>
        </w:rPr>
        <w:t>avais estimé qu</w:t>
      </w:r>
      <w:r w:rsidR="00A66252" w:rsidRPr="00A66252">
        <w:rPr>
          <w:lang w:val="fr-FR"/>
        </w:rPr>
        <w:t>’</w:t>
      </w:r>
      <w:r w:rsidRPr="00A66252">
        <w:rPr>
          <w:lang w:val="fr-FR"/>
        </w:rPr>
        <w:t>il fallait suivre l</w:t>
      </w:r>
      <w:r w:rsidR="00A66252" w:rsidRPr="00A66252">
        <w:rPr>
          <w:lang w:val="fr-FR"/>
        </w:rPr>
        <w:t>’</w:t>
      </w:r>
      <w:r w:rsidRPr="00A66252">
        <w:rPr>
          <w:lang w:val="fr-FR"/>
        </w:rPr>
        <w:t>interprétation stricte de l</w:t>
      </w:r>
      <w:r w:rsidR="00A66252" w:rsidRPr="00A66252">
        <w:rPr>
          <w:lang w:val="fr-FR"/>
        </w:rPr>
        <w:t>’</w:t>
      </w:r>
      <w:r w:rsidRPr="00A66252">
        <w:rPr>
          <w:lang w:val="fr-FR"/>
        </w:rPr>
        <w:t>article 3 de la Convention donnée par la Cour depuis l</w:t>
      </w:r>
      <w:r w:rsidR="00A66252" w:rsidRPr="00A66252">
        <w:rPr>
          <w:lang w:val="fr-FR"/>
        </w:rPr>
        <w:t>’</w:t>
      </w:r>
      <w:r w:rsidRPr="00A66252">
        <w:rPr>
          <w:lang w:val="fr-FR"/>
        </w:rPr>
        <w:t>arrêt de Grande Chambre dans l</w:t>
      </w:r>
      <w:r w:rsidR="00A66252" w:rsidRPr="00A66252">
        <w:rPr>
          <w:lang w:val="fr-FR"/>
        </w:rPr>
        <w:t>’</w:t>
      </w:r>
      <w:r w:rsidRPr="00A66252">
        <w:rPr>
          <w:lang w:val="fr-FR"/>
        </w:rPr>
        <w:t xml:space="preserve">affaire </w:t>
      </w:r>
      <w:r w:rsidRPr="00A66252">
        <w:rPr>
          <w:i/>
          <w:lang w:val="fr-FR"/>
        </w:rPr>
        <w:t>N. c. Royaume</w:t>
      </w:r>
      <w:r w:rsidRPr="00A66252">
        <w:rPr>
          <w:i/>
          <w:lang w:val="fr-FR"/>
        </w:rPr>
        <w:noBreakHyphen/>
        <w:t>Uni</w:t>
      </w:r>
      <w:r w:rsidRPr="00A66252">
        <w:rPr>
          <w:lang w:val="fr-FR"/>
        </w:rPr>
        <w:t xml:space="preserve"> ([GC], n</w:t>
      </w:r>
      <w:r w:rsidRPr="00A66252">
        <w:rPr>
          <w:vertAlign w:val="superscript"/>
          <w:lang w:val="fr-FR"/>
        </w:rPr>
        <w:t>o</w:t>
      </w:r>
      <w:r w:rsidRPr="00A66252">
        <w:rPr>
          <w:lang w:val="fr-FR"/>
        </w:rPr>
        <w:t xml:space="preserve"> 26565/05, CEDH 2008). Suivant l</w:t>
      </w:r>
      <w:r w:rsidR="00A66252" w:rsidRPr="00A66252">
        <w:rPr>
          <w:lang w:val="fr-FR"/>
        </w:rPr>
        <w:t>’</w:t>
      </w:r>
      <w:r w:rsidRPr="00A66252">
        <w:rPr>
          <w:lang w:val="fr-FR"/>
        </w:rPr>
        <w:t>interprétation stricte du seuil de gravité requis, j</w:t>
      </w:r>
      <w:r w:rsidR="00A66252" w:rsidRPr="00A66252">
        <w:rPr>
          <w:lang w:val="fr-FR"/>
        </w:rPr>
        <w:t>’</w:t>
      </w:r>
      <w:r w:rsidRPr="00A66252">
        <w:rPr>
          <w:lang w:val="fr-FR"/>
        </w:rPr>
        <w:t>avais conclu avec la majorité de la chambre que l</w:t>
      </w:r>
      <w:r w:rsidR="00A66252" w:rsidRPr="00A66252">
        <w:rPr>
          <w:lang w:val="fr-FR"/>
        </w:rPr>
        <w:t>’</w:t>
      </w:r>
      <w:r w:rsidRPr="00A66252">
        <w:rPr>
          <w:lang w:val="fr-FR"/>
        </w:rPr>
        <w:t>éloignement du requérant n</w:t>
      </w:r>
      <w:r w:rsidR="00A66252" w:rsidRPr="00A66252">
        <w:rPr>
          <w:lang w:val="fr-FR"/>
        </w:rPr>
        <w:t>’</w:t>
      </w:r>
      <w:r w:rsidRPr="00A66252">
        <w:rPr>
          <w:lang w:val="fr-FR"/>
        </w:rPr>
        <w:t>emporterait pas violation de l</w:t>
      </w:r>
      <w:r w:rsidR="00A66252" w:rsidRPr="00A66252">
        <w:rPr>
          <w:lang w:val="fr-FR"/>
        </w:rPr>
        <w:t>’</w:t>
      </w:r>
      <w:r w:rsidRPr="00A66252">
        <w:rPr>
          <w:lang w:val="fr-FR"/>
        </w:rPr>
        <w:t>article 3 (paragraphe 126 de l</w:t>
      </w:r>
      <w:r w:rsidR="00A66252" w:rsidRPr="00A66252">
        <w:rPr>
          <w:lang w:val="fr-FR"/>
        </w:rPr>
        <w:t>’</w:t>
      </w:r>
      <w:r w:rsidRPr="00A66252">
        <w:rPr>
          <w:lang w:val="fr-FR"/>
        </w:rPr>
        <w:t>arrêt de la chambre du 17 avril 2014). De même, concernant le refus de régulariser le séjour du requérant, j</w:t>
      </w:r>
      <w:r w:rsidR="00A66252" w:rsidRPr="00A66252">
        <w:rPr>
          <w:lang w:val="fr-FR"/>
        </w:rPr>
        <w:t>’</w:t>
      </w:r>
      <w:r w:rsidRPr="00A66252">
        <w:rPr>
          <w:lang w:val="fr-FR"/>
        </w:rPr>
        <w:t>avais conclu avec la majorité de la chambre qu</w:t>
      </w:r>
      <w:r w:rsidR="00A66252" w:rsidRPr="00A66252">
        <w:rPr>
          <w:lang w:val="fr-FR"/>
        </w:rPr>
        <w:t>’</w:t>
      </w:r>
      <w:r w:rsidRPr="00A66252">
        <w:rPr>
          <w:lang w:val="fr-FR"/>
        </w:rPr>
        <w:t>il n</w:t>
      </w:r>
      <w:r w:rsidR="00A66252" w:rsidRPr="00A66252">
        <w:rPr>
          <w:lang w:val="fr-FR"/>
        </w:rPr>
        <w:t>’</w:t>
      </w:r>
      <w:r w:rsidRPr="00A66252">
        <w:rPr>
          <w:lang w:val="fr-FR"/>
        </w:rPr>
        <w:t>y avait pas de manquement aux obligations positives découlant de l</w:t>
      </w:r>
      <w:r w:rsidR="00A66252" w:rsidRPr="00A66252">
        <w:rPr>
          <w:lang w:val="fr-FR"/>
        </w:rPr>
        <w:t>’</w:t>
      </w:r>
      <w:r w:rsidRPr="00A66252">
        <w:rPr>
          <w:lang w:val="fr-FR"/>
        </w:rPr>
        <w:t>article 8 de la Convention (paragraphe 155 de l</w:t>
      </w:r>
      <w:r w:rsidR="00A66252" w:rsidRPr="00A66252">
        <w:rPr>
          <w:lang w:val="fr-FR"/>
        </w:rPr>
        <w:t>’</w:t>
      </w:r>
      <w:r w:rsidRPr="00A66252">
        <w:rPr>
          <w:lang w:val="fr-FR"/>
        </w:rPr>
        <w:t>arrêt de la chambre).</w:t>
      </w:r>
    </w:p>
    <w:p w:rsidR="00E149AB" w:rsidRPr="00A66252" w:rsidRDefault="00E149AB" w:rsidP="00A66252">
      <w:pPr>
        <w:pStyle w:val="OpiPara"/>
        <w:rPr>
          <w:lang w:val="fr-FR"/>
        </w:rPr>
      </w:pPr>
      <w:r w:rsidRPr="00A66252">
        <w:rPr>
          <w:lang w:val="fr-FR"/>
        </w:rPr>
        <w:t>3.  Une fois la présente affaire portée devant la Grande Chambre, la question s</w:t>
      </w:r>
      <w:r w:rsidR="00A66252" w:rsidRPr="00A66252">
        <w:rPr>
          <w:lang w:val="fr-FR"/>
        </w:rPr>
        <w:t>’</w:t>
      </w:r>
      <w:r w:rsidRPr="00A66252">
        <w:rPr>
          <w:lang w:val="fr-FR"/>
        </w:rPr>
        <w:t>est posée de savoir si l</w:t>
      </w:r>
      <w:r w:rsidR="00A66252" w:rsidRPr="00A66252">
        <w:rPr>
          <w:lang w:val="fr-FR"/>
        </w:rPr>
        <w:t>’</w:t>
      </w:r>
      <w:r w:rsidRPr="00A66252">
        <w:rPr>
          <w:lang w:val="fr-FR"/>
        </w:rPr>
        <w:t>application stricte du critère formulé dans l</w:t>
      </w:r>
      <w:r w:rsidR="00A66252" w:rsidRPr="00A66252">
        <w:rPr>
          <w:lang w:val="fr-FR"/>
        </w:rPr>
        <w:t>’</w:t>
      </w:r>
      <w:r w:rsidRPr="00A66252">
        <w:rPr>
          <w:lang w:val="fr-FR"/>
        </w:rPr>
        <w:t xml:space="preserve">arrêt </w:t>
      </w:r>
      <w:r w:rsidRPr="00A66252">
        <w:rPr>
          <w:i/>
          <w:lang w:val="fr-FR"/>
        </w:rPr>
        <w:t>N. c. Royaume-Uni</w:t>
      </w:r>
      <w:r w:rsidRPr="00A66252">
        <w:rPr>
          <w:lang w:val="fr-FR"/>
        </w:rPr>
        <w:t>, sans tenir compte d</w:t>
      </w:r>
      <w:r w:rsidR="00A66252" w:rsidRPr="00A66252">
        <w:rPr>
          <w:lang w:val="fr-FR"/>
        </w:rPr>
        <w:t>’</w:t>
      </w:r>
      <w:r w:rsidRPr="00A66252">
        <w:rPr>
          <w:lang w:val="fr-FR"/>
        </w:rPr>
        <w:t>autres circonstances que celle de la présence de l</w:t>
      </w:r>
      <w:r w:rsidR="00A66252" w:rsidRPr="00A66252">
        <w:rPr>
          <w:lang w:val="fr-FR"/>
        </w:rPr>
        <w:t>’</w:t>
      </w:r>
      <w:r w:rsidRPr="00A66252">
        <w:rPr>
          <w:lang w:val="fr-FR"/>
        </w:rPr>
        <w:t>étranger « au seuil de la mort » (paragraphe 181 du présent arrêt), ne créait pas une lacune dans la garantie contre des traitements inhumains. Je n</w:t>
      </w:r>
      <w:r w:rsidR="00A66252" w:rsidRPr="00A66252">
        <w:rPr>
          <w:lang w:val="fr-FR"/>
        </w:rPr>
        <w:t>’</w:t>
      </w:r>
      <w:r w:rsidRPr="00A66252">
        <w:rPr>
          <w:lang w:val="fr-FR"/>
        </w:rPr>
        <w:t>ai aucune difficulté à constater comme mes collègues de la Grande Chambre que lacune il y a, ni à clarifier notre jurisprudence afin de combler cette lacune tout en maintenant un seuil élevé pour l</w:t>
      </w:r>
      <w:r w:rsidR="00A66252" w:rsidRPr="00A66252">
        <w:rPr>
          <w:lang w:val="fr-FR"/>
        </w:rPr>
        <w:t>’</w:t>
      </w:r>
      <w:r w:rsidRPr="00A66252">
        <w:rPr>
          <w:lang w:val="fr-FR"/>
        </w:rPr>
        <w:t>application de l</w:t>
      </w:r>
      <w:r w:rsidR="00A66252" w:rsidRPr="00A66252">
        <w:rPr>
          <w:lang w:val="fr-FR"/>
        </w:rPr>
        <w:t>’</w:t>
      </w:r>
      <w:r w:rsidRPr="00A66252">
        <w:rPr>
          <w:lang w:val="fr-FR"/>
        </w:rPr>
        <w:t>article 3 de la Convention (voir en particulier le paragraphe 183 du présent arrêt).</w:t>
      </w:r>
    </w:p>
    <w:p w:rsidR="00E149AB" w:rsidRPr="00A66252" w:rsidRDefault="00E149AB" w:rsidP="00A66252">
      <w:pPr>
        <w:pStyle w:val="OpiPara"/>
        <w:rPr>
          <w:lang w:val="fr-FR"/>
        </w:rPr>
      </w:pPr>
      <w:r w:rsidRPr="00A66252">
        <w:rPr>
          <w:lang w:val="fr-FR"/>
        </w:rPr>
        <w:t>Ensuite, j</w:t>
      </w:r>
      <w:r w:rsidR="00A66252" w:rsidRPr="00A66252">
        <w:rPr>
          <w:lang w:val="fr-FR"/>
        </w:rPr>
        <w:t>’</w:t>
      </w:r>
      <w:r w:rsidRPr="00A66252">
        <w:rPr>
          <w:lang w:val="fr-FR"/>
        </w:rPr>
        <w:t>adhère pleinement à la manière différente dont la Grande Chambre aborde le grief du requérant. Alors que la chambre avait recherché si l</w:t>
      </w:r>
      <w:r w:rsidR="00A66252" w:rsidRPr="00A66252">
        <w:rPr>
          <w:lang w:val="fr-FR"/>
        </w:rPr>
        <w:t>’</w:t>
      </w:r>
      <w:r w:rsidRPr="00A66252">
        <w:rPr>
          <w:lang w:val="fr-FR"/>
        </w:rPr>
        <w:t>éloignement éventuel du requérant serait compatible avec l</w:t>
      </w:r>
      <w:r w:rsidR="00A66252" w:rsidRPr="00A66252">
        <w:rPr>
          <w:lang w:val="fr-FR"/>
        </w:rPr>
        <w:t>’</w:t>
      </w:r>
      <w:r w:rsidRPr="00A66252">
        <w:rPr>
          <w:lang w:val="fr-FR"/>
        </w:rPr>
        <w:t>interdiction visant les traitements inhumains et dégradants, la Grande Chambre insiste sur la responsabilité première des autorités nationales s</w:t>
      </w:r>
      <w:r w:rsidR="00A66252" w:rsidRPr="00A66252">
        <w:rPr>
          <w:lang w:val="fr-FR"/>
        </w:rPr>
        <w:t>’</w:t>
      </w:r>
      <w:r w:rsidRPr="00A66252">
        <w:rPr>
          <w:lang w:val="fr-FR"/>
        </w:rPr>
        <w:t>agissant d</w:t>
      </w:r>
      <w:r w:rsidR="00A66252" w:rsidRPr="00A66252">
        <w:rPr>
          <w:lang w:val="fr-FR"/>
        </w:rPr>
        <w:t>’</w:t>
      </w:r>
      <w:r w:rsidRPr="00A66252">
        <w:rPr>
          <w:lang w:val="fr-FR"/>
        </w:rPr>
        <w:t>examiner les arguments des étrangers fondés sur l</w:t>
      </w:r>
      <w:r w:rsidR="00A66252" w:rsidRPr="00A66252">
        <w:rPr>
          <w:lang w:val="fr-FR"/>
        </w:rPr>
        <w:t>’</w:t>
      </w:r>
      <w:r w:rsidRPr="00A66252">
        <w:rPr>
          <w:lang w:val="fr-FR"/>
        </w:rPr>
        <w:t>article 3 de la Convention (voir en particulier le paragraphe 184 du présent arrêt, qui met en lumière le caractère subsidiaire du mécanisme de requête devant la Cour par rapport aux systèmes nationaux de sauvegarde des droits de l</w:t>
      </w:r>
      <w:r w:rsidR="00A66252" w:rsidRPr="00A66252">
        <w:rPr>
          <w:lang w:val="fr-FR"/>
        </w:rPr>
        <w:t>’</w:t>
      </w:r>
      <w:r w:rsidRPr="00A66252">
        <w:rPr>
          <w:lang w:val="fr-FR"/>
        </w:rPr>
        <w:t>homme).</w:t>
      </w:r>
    </w:p>
    <w:p w:rsidR="00E149AB" w:rsidRPr="00A66252" w:rsidRDefault="00E149AB" w:rsidP="00A66252">
      <w:pPr>
        <w:pStyle w:val="OpiPara"/>
        <w:rPr>
          <w:lang w:val="fr-FR"/>
        </w:rPr>
      </w:pPr>
      <w:r w:rsidRPr="00A66252">
        <w:rPr>
          <w:lang w:val="fr-FR"/>
        </w:rPr>
        <w:t>Dans cette nouvelle optique, j</w:t>
      </w:r>
      <w:r w:rsidR="00A66252" w:rsidRPr="00A66252">
        <w:rPr>
          <w:lang w:val="fr-FR"/>
        </w:rPr>
        <w:t>’</w:t>
      </w:r>
      <w:r w:rsidRPr="00A66252">
        <w:rPr>
          <w:lang w:val="fr-FR"/>
        </w:rPr>
        <w:t>estime comme mes collègues que les instances nationales ne disposaient pas en l</w:t>
      </w:r>
      <w:r w:rsidR="00A66252" w:rsidRPr="00A66252">
        <w:rPr>
          <w:lang w:val="fr-FR"/>
        </w:rPr>
        <w:t>’</w:t>
      </w:r>
      <w:r w:rsidRPr="00A66252">
        <w:rPr>
          <w:lang w:val="fr-FR"/>
        </w:rPr>
        <w:t>espèce d</w:t>
      </w:r>
      <w:r w:rsidR="00A66252" w:rsidRPr="00A66252">
        <w:rPr>
          <w:lang w:val="fr-FR"/>
        </w:rPr>
        <w:t>’</w:t>
      </w:r>
      <w:r w:rsidRPr="00A66252">
        <w:rPr>
          <w:lang w:val="fr-FR"/>
        </w:rPr>
        <w:t>éléments suffisants pour pouvoir conclure qu</w:t>
      </w:r>
      <w:r w:rsidR="00A66252" w:rsidRPr="00A66252">
        <w:rPr>
          <w:lang w:val="fr-FR"/>
        </w:rPr>
        <w:t>’</w:t>
      </w:r>
      <w:r w:rsidRPr="00A66252">
        <w:rPr>
          <w:lang w:val="fr-FR"/>
        </w:rPr>
        <w:t>en cas de renvoi du requérant vers la Géorgie il n</w:t>
      </w:r>
      <w:r w:rsidR="00A66252" w:rsidRPr="00A66252">
        <w:rPr>
          <w:lang w:val="fr-FR"/>
        </w:rPr>
        <w:t>’</w:t>
      </w:r>
      <w:r w:rsidRPr="00A66252">
        <w:rPr>
          <w:lang w:val="fr-FR"/>
        </w:rPr>
        <w:t>y aurait pas de risque concret et réel de traitements contraires à l</w:t>
      </w:r>
      <w:r w:rsidR="00A66252" w:rsidRPr="00A66252">
        <w:rPr>
          <w:lang w:val="fr-FR"/>
        </w:rPr>
        <w:t>’</w:t>
      </w:r>
      <w:r w:rsidRPr="00A66252">
        <w:rPr>
          <w:lang w:val="fr-FR"/>
        </w:rPr>
        <w:t>article 3, eu égard au critère posé dans l</w:t>
      </w:r>
      <w:r w:rsidR="00A66252" w:rsidRPr="00A66252">
        <w:rPr>
          <w:lang w:val="fr-FR"/>
        </w:rPr>
        <w:t>’</w:t>
      </w:r>
      <w:r w:rsidRPr="00A66252">
        <w:rPr>
          <w:lang w:val="fr-FR"/>
        </w:rPr>
        <w:t xml:space="preserve">arrêt </w:t>
      </w:r>
      <w:r w:rsidRPr="00A66252">
        <w:rPr>
          <w:i/>
          <w:lang w:val="fr-FR"/>
        </w:rPr>
        <w:t>N. c. Royaume-Uni</w:t>
      </w:r>
      <w:r w:rsidRPr="00A66252">
        <w:rPr>
          <w:lang w:val="fr-FR"/>
        </w:rPr>
        <w:t xml:space="preserve"> et tel que clarifié dans le présent arrêt.</w:t>
      </w:r>
    </w:p>
    <w:p w:rsidR="00E149AB" w:rsidRPr="00A66252" w:rsidRDefault="00E149AB" w:rsidP="00A66252">
      <w:pPr>
        <w:pStyle w:val="OpiPara"/>
        <w:rPr>
          <w:lang w:val="fr-FR"/>
        </w:rPr>
      </w:pPr>
      <w:r w:rsidRPr="00A66252">
        <w:rPr>
          <w:lang w:val="fr-FR"/>
        </w:rPr>
        <w:lastRenderedPageBreak/>
        <w:t>4.  En ce qui concerne le grief tiré de l</w:t>
      </w:r>
      <w:r w:rsidR="00A66252" w:rsidRPr="00A66252">
        <w:rPr>
          <w:lang w:val="fr-FR"/>
        </w:rPr>
        <w:t>’</w:t>
      </w:r>
      <w:r w:rsidRPr="00A66252">
        <w:rPr>
          <w:lang w:val="fr-FR"/>
        </w:rPr>
        <w:t>article 8 de la Convention, la Grande Chambre adopte également une approche différente de celle de la chambre. Alors que la chambre avait examiné la décision refusant la régularisation du séjour du point de vue de la proportionnalité, la Grande Chambre se place là aussi au niveau des obligations procédurales pesant sur l</w:t>
      </w:r>
      <w:r w:rsidR="00A66252" w:rsidRPr="00A66252">
        <w:rPr>
          <w:lang w:val="fr-FR"/>
        </w:rPr>
        <w:t>’</w:t>
      </w:r>
      <w:r w:rsidRPr="00A66252">
        <w:rPr>
          <w:lang w:val="fr-FR"/>
        </w:rPr>
        <w:t>État défendeur (voir en particulier le paragraphe 224 du présent arrêt, qui souligne à nouveau le caractère subsidiaire du mécanisme de requête devant la Cour par rapport aux systèmes nationaux de sauvegarde des droits de l</w:t>
      </w:r>
      <w:r w:rsidR="00A66252" w:rsidRPr="00A66252">
        <w:rPr>
          <w:lang w:val="fr-FR"/>
        </w:rPr>
        <w:t>’</w:t>
      </w:r>
      <w:r w:rsidRPr="00A66252">
        <w:rPr>
          <w:lang w:val="fr-FR"/>
        </w:rPr>
        <w:t>homme).</w:t>
      </w:r>
    </w:p>
    <w:p w:rsidR="00E149AB" w:rsidRPr="00A66252" w:rsidRDefault="00E149AB" w:rsidP="00A66252">
      <w:pPr>
        <w:pStyle w:val="OpiPara"/>
        <w:rPr>
          <w:lang w:val="fr-FR"/>
        </w:rPr>
      </w:pPr>
      <w:r w:rsidRPr="00A66252">
        <w:rPr>
          <w:lang w:val="fr-FR"/>
        </w:rPr>
        <w:t>Sous cet angle nouveau, force m</w:t>
      </w:r>
      <w:r w:rsidR="00A66252" w:rsidRPr="00A66252">
        <w:rPr>
          <w:lang w:val="fr-FR"/>
        </w:rPr>
        <w:t>’</w:t>
      </w:r>
      <w:r w:rsidRPr="00A66252">
        <w:rPr>
          <w:lang w:val="fr-FR"/>
        </w:rPr>
        <w:t>est de constater, à l</w:t>
      </w:r>
      <w:r w:rsidR="00A66252" w:rsidRPr="00A66252">
        <w:rPr>
          <w:lang w:val="fr-FR"/>
        </w:rPr>
        <w:t>’</w:t>
      </w:r>
      <w:r w:rsidRPr="00A66252">
        <w:rPr>
          <w:lang w:val="fr-FR"/>
        </w:rPr>
        <w:t>instar de mes collègues de la Grande Chambre, que l</w:t>
      </w:r>
      <w:r w:rsidR="00A66252" w:rsidRPr="00A66252">
        <w:rPr>
          <w:lang w:val="fr-FR"/>
        </w:rPr>
        <w:t>’</w:t>
      </w:r>
      <w:r w:rsidRPr="00A66252">
        <w:rPr>
          <w:lang w:val="fr-FR"/>
        </w:rPr>
        <w:t>examen par les autorités nationales de la compatibilité du refus d</w:t>
      </w:r>
      <w:r w:rsidR="00A66252" w:rsidRPr="00A66252">
        <w:rPr>
          <w:lang w:val="fr-FR"/>
        </w:rPr>
        <w:t>’</w:t>
      </w:r>
      <w:r w:rsidRPr="00A66252">
        <w:rPr>
          <w:lang w:val="fr-FR"/>
        </w:rPr>
        <w:t>accorder l</w:t>
      </w:r>
      <w:r w:rsidR="00A66252" w:rsidRPr="00A66252">
        <w:rPr>
          <w:lang w:val="fr-FR"/>
        </w:rPr>
        <w:t>’</w:t>
      </w:r>
      <w:r w:rsidRPr="00A66252">
        <w:rPr>
          <w:lang w:val="fr-FR"/>
        </w:rPr>
        <w:t>autorisation de séjour avec l</w:t>
      </w:r>
      <w:r w:rsidR="00A66252" w:rsidRPr="00A66252">
        <w:rPr>
          <w:lang w:val="fr-FR"/>
        </w:rPr>
        <w:t>’</w:t>
      </w:r>
      <w:r w:rsidRPr="00A66252">
        <w:rPr>
          <w:lang w:val="fr-FR"/>
        </w:rPr>
        <w:t>article 8 de la Convention n</w:t>
      </w:r>
      <w:r w:rsidR="00A66252" w:rsidRPr="00A66252">
        <w:rPr>
          <w:lang w:val="fr-FR"/>
        </w:rPr>
        <w:t>’</w:t>
      </w:r>
      <w:r w:rsidRPr="00A66252">
        <w:rPr>
          <w:lang w:val="fr-FR"/>
        </w:rPr>
        <w:t>a pas été effectué sur la base de tous les éléments pertinents en l</w:t>
      </w:r>
      <w:r w:rsidR="00A66252" w:rsidRPr="00A66252">
        <w:rPr>
          <w:lang w:val="fr-FR"/>
        </w:rPr>
        <w:t>’</w:t>
      </w:r>
      <w:r w:rsidRPr="00A66252">
        <w:rPr>
          <w:lang w:val="fr-FR"/>
        </w:rPr>
        <w:t>espèce.</w:t>
      </w:r>
    </w:p>
    <w:p w:rsidR="00E149AB" w:rsidRPr="00A66252" w:rsidRDefault="00E149AB" w:rsidP="00A66252">
      <w:pPr>
        <w:pStyle w:val="OpiPara"/>
        <w:rPr>
          <w:lang w:val="fr-FR"/>
        </w:rPr>
      </w:pPr>
      <w:r w:rsidRPr="00A66252">
        <w:rPr>
          <w:lang w:val="fr-FR"/>
        </w:rPr>
        <w:t>5.  Je saisis l</w:t>
      </w:r>
      <w:r w:rsidR="00A66252" w:rsidRPr="00A66252">
        <w:rPr>
          <w:lang w:val="fr-FR"/>
        </w:rPr>
        <w:t>’</w:t>
      </w:r>
      <w:r w:rsidRPr="00A66252">
        <w:rPr>
          <w:lang w:val="fr-FR"/>
        </w:rPr>
        <w:t>occasion pour attirer l</w:t>
      </w:r>
      <w:r w:rsidR="00A66252" w:rsidRPr="00A66252">
        <w:rPr>
          <w:lang w:val="fr-FR"/>
        </w:rPr>
        <w:t>’</w:t>
      </w:r>
      <w:r w:rsidRPr="00A66252">
        <w:rPr>
          <w:lang w:val="fr-FR"/>
        </w:rPr>
        <w:t>attention sur le fait que le présent arrêt n</w:t>
      </w:r>
      <w:r w:rsidR="00A66252" w:rsidRPr="00A66252">
        <w:rPr>
          <w:lang w:val="fr-FR"/>
        </w:rPr>
        <w:t>’</w:t>
      </w:r>
      <w:r w:rsidRPr="00A66252">
        <w:rPr>
          <w:lang w:val="fr-FR"/>
        </w:rPr>
        <w:t>est pas étranger à une évolution qui a pu être observée au niveau interne belge.</w:t>
      </w:r>
    </w:p>
    <w:p w:rsidR="00E149AB" w:rsidRPr="00A66252" w:rsidRDefault="00E149AB" w:rsidP="00A66252">
      <w:pPr>
        <w:pStyle w:val="OpiPara"/>
        <w:rPr>
          <w:lang w:val="fr-FR"/>
        </w:rPr>
      </w:pPr>
      <w:r w:rsidRPr="00A66252">
        <w:rPr>
          <w:rFonts w:cstheme="minorHAnsi"/>
          <w:lang w:val="fr-FR"/>
        </w:rPr>
        <w:t>À</w:t>
      </w:r>
      <w:r w:rsidRPr="00A66252">
        <w:rPr>
          <w:lang w:val="fr-FR"/>
        </w:rPr>
        <w:t xml:space="preserve"> l</w:t>
      </w:r>
      <w:r w:rsidR="00A66252" w:rsidRPr="00A66252">
        <w:rPr>
          <w:lang w:val="fr-FR"/>
        </w:rPr>
        <w:t>’</w:t>
      </w:r>
      <w:r w:rsidRPr="00A66252">
        <w:rPr>
          <w:lang w:val="fr-FR"/>
        </w:rPr>
        <w:t>époque où la chambre avait rendu son arrêt, certaines formations du Conseil du contentieux des étrangers avaient déjà manifesté leur réticence à appliquer d</w:t>
      </w:r>
      <w:r w:rsidR="00A66252" w:rsidRPr="00A66252">
        <w:rPr>
          <w:lang w:val="fr-FR"/>
        </w:rPr>
        <w:t>’</w:t>
      </w:r>
      <w:r w:rsidRPr="00A66252">
        <w:rPr>
          <w:lang w:val="fr-FR"/>
        </w:rPr>
        <w:t>une manière stricte le critère posé par l</w:t>
      </w:r>
      <w:r w:rsidR="00A66252" w:rsidRPr="00A66252">
        <w:rPr>
          <w:lang w:val="fr-FR"/>
        </w:rPr>
        <w:t>’</w:t>
      </w:r>
      <w:r w:rsidRPr="00A66252">
        <w:rPr>
          <w:lang w:val="fr-FR"/>
        </w:rPr>
        <w:t xml:space="preserve">arrêt </w:t>
      </w:r>
      <w:r w:rsidRPr="00A66252">
        <w:rPr>
          <w:i/>
          <w:lang w:val="fr-FR"/>
        </w:rPr>
        <w:t>N. c. Royaume-Uni</w:t>
      </w:r>
      <w:r w:rsidRPr="00A66252">
        <w:rPr>
          <w:lang w:val="fr-FR"/>
        </w:rPr>
        <w:t xml:space="preserve"> (paragraphe 102 du présent arrêt). Depuis lors, le Conseil d</w:t>
      </w:r>
      <w:r w:rsidR="00A66252" w:rsidRPr="00A66252">
        <w:rPr>
          <w:lang w:val="fr-FR"/>
        </w:rPr>
        <w:t>’</w:t>
      </w:r>
      <w:r w:rsidRPr="00A66252">
        <w:rPr>
          <w:lang w:val="fr-FR"/>
        </w:rPr>
        <w:t>État a entériné leur approche (paragraphes 103-105 du présent arrêt) et le Conseil du contentieux des étrangers a consolidé sa jurisprudence par des arrêts rendus en assemblée générale. Certes, cette jurisprudence concerne l</w:t>
      </w:r>
      <w:r w:rsidR="00A66252" w:rsidRPr="00A66252">
        <w:rPr>
          <w:lang w:val="fr-FR"/>
        </w:rPr>
        <w:t>’</w:t>
      </w:r>
      <w:r w:rsidRPr="00A66252">
        <w:rPr>
          <w:lang w:val="fr-FR"/>
        </w:rPr>
        <w:t>interprétation d</w:t>
      </w:r>
      <w:r w:rsidR="00A66252" w:rsidRPr="00A66252">
        <w:rPr>
          <w:lang w:val="fr-FR"/>
        </w:rPr>
        <w:t>’</w:t>
      </w:r>
      <w:r w:rsidRPr="00A66252">
        <w:rPr>
          <w:lang w:val="fr-FR"/>
        </w:rPr>
        <w:t>une règle du droit national (l</w:t>
      </w:r>
      <w:r w:rsidR="00A66252" w:rsidRPr="00A66252">
        <w:rPr>
          <w:lang w:val="fr-FR"/>
        </w:rPr>
        <w:t>’</w:t>
      </w:r>
      <w:r w:rsidRPr="00A66252">
        <w:rPr>
          <w:lang w:val="fr-FR"/>
        </w:rPr>
        <w:t>article 9</w:t>
      </w:r>
      <w:r w:rsidRPr="00A66252">
        <w:rPr>
          <w:i/>
          <w:lang w:val="fr-FR"/>
        </w:rPr>
        <w:t>ter</w:t>
      </w:r>
      <w:r w:rsidRPr="00A66252">
        <w:rPr>
          <w:lang w:val="fr-FR"/>
        </w:rPr>
        <w:t xml:space="preserve"> de la loi sur les étrangers, relatif à la possibilité d</w:t>
      </w:r>
      <w:r w:rsidR="00A66252" w:rsidRPr="00A66252">
        <w:rPr>
          <w:lang w:val="fr-FR"/>
        </w:rPr>
        <w:t>’</w:t>
      </w:r>
      <w:r w:rsidRPr="00A66252">
        <w:rPr>
          <w:lang w:val="fr-FR"/>
        </w:rPr>
        <w:t>octroyer une autorisation de séjour pour raisons médicales), mais elle est également pertinente pour l</w:t>
      </w:r>
      <w:r w:rsidR="00A66252" w:rsidRPr="00A66252">
        <w:rPr>
          <w:lang w:val="fr-FR"/>
        </w:rPr>
        <w:t>’</w:t>
      </w:r>
      <w:r w:rsidRPr="00A66252">
        <w:rPr>
          <w:lang w:val="fr-FR"/>
        </w:rPr>
        <w:t>interprétation de l</w:t>
      </w:r>
      <w:r w:rsidR="00A66252" w:rsidRPr="00A66252">
        <w:rPr>
          <w:lang w:val="fr-FR"/>
        </w:rPr>
        <w:t>’</w:t>
      </w:r>
      <w:r w:rsidRPr="00A66252">
        <w:rPr>
          <w:lang w:val="fr-FR"/>
        </w:rPr>
        <w:t>article 3 de la Convention. Il résulte des arrêts de l</w:t>
      </w:r>
      <w:r w:rsidR="00A66252" w:rsidRPr="00A66252">
        <w:rPr>
          <w:lang w:val="fr-FR"/>
        </w:rPr>
        <w:t>’</w:t>
      </w:r>
      <w:r w:rsidRPr="00A66252">
        <w:rPr>
          <w:lang w:val="fr-FR"/>
        </w:rPr>
        <w:t>assemblée générale du Conseil du contentieux des étrangers qu</w:t>
      </w:r>
      <w:r w:rsidR="00A66252" w:rsidRPr="00A66252">
        <w:rPr>
          <w:lang w:val="fr-FR"/>
        </w:rPr>
        <w:t>’</w:t>
      </w:r>
      <w:r w:rsidRPr="00A66252">
        <w:rPr>
          <w:lang w:val="fr-FR"/>
        </w:rPr>
        <w:t>il peut y avoir un obstacle à l</w:t>
      </w:r>
      <w:r w:rsidR="00A66252" w:rsidRPr="00A66252">
        <w:rPr>
          <w:lang w:val="fr-FR"/>
        </w:rPr>
        <w:t>’</w:t>
      </w:r>
      <w:r w:rsidRPr="00A66252">
        <w:rPr>
          <w:lang w:val="fr-FR"/>
        </w:rPr>
        <w:t>éloignement d</w:t>
      </w:r>
      <w:r w:rsidR="00A66252" w:rsidRPr="00A66252">
        <w:rPr>
          <w:lang w:val="fr-FR"/>
        </w:rPr>
        <w:t>’</w:t>
      </w:r>
      <w:r w:rsidRPr="00A66252">
        <w:rPr>
          <w:lang w:val="fr-FR"/>
        </w:rPr>
        <w:t>un étranger malade, non seulement lorsqu</w:t>
      </w:r>
      <w:r w:rsidR="00A66252" w:rsidRPr="00A66252">
        <w:rPr>
          <w:lang w:val="fr-FR"/>
        </w:rPr>
        <w:t>’</w:t>
      </w:r>
      <w:r w:rsidRPr="00A66252">
        <w:rPr>
          <w:lang w:val="fr-FR"/>
        </w:rPr>
        <w:t>il y a un risque imminent pour sa vie ou pour son intégrité physique (hypothèse correspondant aux situations dans lesquelles un éloignement serait contraire à l</w:t>
      </w:r>
      <w:r w:rsidR="00A66252" w:rsidRPr="00A66252">
        <w:rPr>
          <w:lang w:val="fr-FR"/>
        </w:rPr>
        <w:t>’</w:t>
      </w:r>
      <w:r w:rsidRPr="00A66252">
        <w:rPr>
          <w:lang w:val="fr-FR"/>
        </w:rPr>
        <w:t>article 3 de la Convention selon la jurisprudence de la Cour depuis l</w:t>
      </w:r>
      <w:r w:rsidR="00A66252" w:rsidRPr="00A66252">
        <w:rPr>
          <w:lang w:val="fr-FR"/>
        </w:rPr>
        <w:t>’</w:t>
      </w:r>
      <w:r w:rsidRPr="00A66252">
        <w:rPr>
          <w:lang w:val="fr-FR"/>
        </w:rPr>
        <w:t xml:space="preserve">arrêt </w:t>
      </w:r>
      <w:r w:rsidRPr="00A66252">
        <w:rPr>
          <w:i/>
          <w:lang w:val="fr-FR"/>
        </w:rPr>
        <w:t>N. c. Royaume-Uni</w:t>
      </w:r>
      <w:r w:rsidRPr="00A66252">
        <w:rPr>
          <w:lang w:val="fr-FR"/>
        </w:rPr>
        <w:t>), mais également lorsqu</w:t>
      </w:r>
      <w:r w:rsidR="00A66252" w:rsidRPr="00A66252">
        <w:rPr>
          <w:lang w:val="fr-FR"/>
        </w:rPr>
        <w:t>’</w:t>
      </w:r>
      <w:r w:rsidRPr="00A66252">
        <w:rPr>
          <w:lang w:val="fr-FR"/>
        </w:rPr>
        <w:t>il y a un risque de traitement inhumain ou dégradant s</w:t>
      </w:r>
      <w:r w:rsidR="00A66252" w:rsidRPr="00A66252">
        <w:rPr>
          <w:lang w:val="fr-FR"/>
        </w:rPr>
        <w:t>’</w:t>
      </w:r>
      <w:r w:rsidRPr="00A66252">
        <w:rPr>
          <w:lang w:val="fr-FR"/>
        </w:rPr>
        <w:t>il n</w:t>
      </w:r>
      <w:r w:rsidR="00A66252" w:rsidRPr="00A66252">
        <w:rPr>
          <w:lang w:val="fr-FR"/>
        </w:rPr>
        <w:t>’</w:t>
      </w:r>
      <w:r w:rsidRPr="00A66252">
        <w:rPr>
          <w:lang w:val="fr-FR"/>
        </w:rPr>
        <w:t>existe pas de traitement adéquat dans le pays de destination (paragraphes 106-107 du présent arrêt).</w:t>
      </w:r>
    </w:p>
    <w:p w:rsidR="00C55A6E" w:rsidRPr="00A66252" w:rsidRDefault="00E149AB" w:rsidP="00A66252">
      <w:pPr>
        <w:pStyle w:val="OpiPara"/>
        <w:rPr>
          <w:lang w:val="fr-FR"/>
        </w:rPr>
      </w:pPr>
      <w:r w:rsidRPr="00A66252">
        <w:rPr>
          <w:lang w:val="fr-FR"/>
        </w:rPr>
        <w:t>À mes yeux, en insistant sur le fait qu</w:t>
      </w:r>
      <w:r w:rsidR="00A66252" w:rsidRPr="00A66252">
        <w:rPr>
          <w:lang w:val="fr-FR"/>
        </w:rPr>
        <w:t>’</w:t>
      </w:r>
      <w:r w:rsidRPr="00A66252">
        <w:rPr>
          <w:lang w:val="fr-FR"/>
        </w:rPr>
        <w:t>à côté du risque vital (risque réel et actuel pour la vie ou l</w:t>
      </w:r>
      <w:r w:rsidR="00A66252" w:rsidRPr="00A66252">
        <w:rPr>
          <w:lang w:val="fr-FR"/>
        </w:rPr>
        <w:t>’</w:t>
      </w:r>
      <w:r w:rsidRPr="00A66252">
        <w:rPr>
          <w:lang w:val="fr-FR"/>
        </w:rPr>
        <w:t>intégrité physique) il existe aussi un risque de traitement inhumain ou dégradant, le Conseil du contentieux des étrangers a pu attirer l</w:t>
      </w:r>
      <w:r w:rsidR="00A66252" w:rsidRPr="00A66252">
        <w:rPr>
          <w:lang w:val="fr-FR"/>
        </w:rPr>
        <w:t>’</w:t>
      </w:r>
      <w:r w:rsidRPr="00A66252">
        <w:rPr>
          <w:lang w:val="fr-FR"/>
        </w:rPr>
        <w:t>attention de la Cour sur le problème que posait sa jurisprudence. Le présent arrêt peut être vu comme la réponse de la Cour au souci exprimé par le Conseil du contentieux des étrangers.</w:t>
      </w:r>
    </w:p>
    <w:sectPr w:rsidR="00C55A6E" w:rsidRPr="00A66252" w:rsidSect="00B97583">
      <w:headerReference w:type="even" r:id="rId20"/>
      <w:headerReference w:type="default" r:id="rId21"/>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BB" w:rsidRPr="0045067D" w:rsidRDefault="00940DBB" w:rsidP="00E77CB3">
      <w:pPr>
        <w:rPr>
          <w:lang w:val="fr-FR"/>
        </w:rPr>
      </w:pPr>
      <w:r w:rsidRPr="0045067D">
        <w:rPr>
          <w:lang w:val="fr-FR"/>
        </w:rPr>
        <w:separator/>
      </w:r>
    </w:p>
  </w:endnote>
  <w:endnote w:type="continuationSeparator" w:id="0">
    <w:p w:rsidR="00940DBB" w:rsidRPr="0045067D" w:rsidRDefault="00940DBB"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Default="00940DBB" w:rsidP="00606EF6">
    <w:pPr>
      <w:pStyle w:val="Pieddepage"/>
      <w:jc w:val="center"/>
    </w:pPr>
    <w:r>
      <w:rPr>
        <w:noProof/>
        <w:lang w:val="fr-FR" w:eastAsia="fr-FR"/>
      </w:rPr>
      <w:drawing>
        <wp:inline distT="0" distB="0" distL="0" distR="0" wp14:anchorId="6BFAE812" wp14:editId="13A5E1CB">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Pr="00150BFA" w:rsidRDefault="00940DBB" w:rsidP="009472B8">
    <w:pPr>
      <w:jc w:val="center"/>
    </w:pPr>
    <w:r>
      <w:rPr>
        <w:noProof/>
        <w:lang w:val="fr-FR" w:eastAsia="fr-FR"/>
      </w:rPr>
      <w:drawing>
        <wp:inline distT="0" distB="0" distL="0" distR="0" wp14:anchorId="5234DB3D" wp14:editId="50CB9923">
          <wp:extent cx="771525" cy="619125"/>
          <wp:effectExtent l="0" t="0" r="9525" b="9525"/>
          <wp:docPr id="55" name="Picture 5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40DBB" w:rsidRDefault="00940DB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Pr="00611D83" w:rsidRDefault="00940DBB" w:rsidP="00611D83">
    <w:pPr>
      <w:pStyle w:val="Pieddepage"/>
      <w:ind w:left="0"/>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BB" w:rsidRPr="0045067D" w:rsidRDefault="00940DBB" w:rsidP="00E77CB3">
      <w:pPr>
        <w:rPr>
          <w:lang w:val="fr-FR"/>
        </w:rPr>
      </w:pPr>
      <w:r w:rsidRPr="0045067D">
        <w:rPr>
          <w:lang w:val="fr-FR"/>
        </w:rPr>
        <w:separator/>
      </w:r>
    </w:p>
  </w:footnote>
  <w:footnote w:type="continuationSeparator" w:id="0">
    <w:p w:rsidR="00940DBB" w:rsidRPr="0045067D" w:rsidRDefault="00940DBB" w:rsidP="00E77CB3">
      <w:pPr>
        <w:rPr>
          <w:lang w:val="fr-FR"/>
        </w:rPr>
      </w:pPr>
      <w:r w:rsidRPr="0045067D">
        <w:rPr>
          <w:lang w:val="fr-FR"/>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Default="00940DBB" w:rsidP="009472B8">
    <w:pPr>
      <w:pStyle w:val="En-tte"/>
      <w:jc w:val="center"/>
    </w:pPr>
    <w:r>
      <w:rPr>
        <w:noProof/>
        <w:lang w:val="fr-FR" w:eastAsia="fr-FR"/>
      </w:rPr>
      <w:drawing>
        <wp:inline distT="0" distB="0" distL="0" distR="0" wp14:anchorId="4FB8E5BA" wp14:editId="0351E611">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Pr="009472B8" w:rsidRDefault="00940DBB" w:rsidP="009472B8">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Default="00A66252" w:rsidP="009472B8">
    <w:pPr>
      <w:jc w:val="center"/>
    </w:pPr>
    <w:r>
      <w:rPr>
        <w:noProof/>
        <w:lang w:val="fr-FR" w:eastAsia="fr-FR"/>
      </w:rPr>
      <w:drawing>
        <wp:inline distT="0" distB="0" distL="0" distR="0" wp14:anchorId="2CA53DCB" wp14:editId="5A404FF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Pr="0045067D" w:rsidRDefault="00940DBB" w:rsidP="00C611D8">
    <w:pPr>
      <w:pStyle w:val="ECHRHeader"/>
      <w:rPr>
        <w:lang w:val="fr-FR"/>
      </w:rPr>
    </w:pPr>
    <w:r>
      <w:rPr>
        <w:rStyle w:val="Numrodepage"/>
        <w:lang w:val="fr-FR"/>
      </w:rPr>
      <w:fldChar w:fldCharType="begin"/>
    </w:r>
    <w:r>
      <w:rPr>
        <w:rStyle w:val="Numrodepage"/>
        <w:lang w:val="fr-FR"/>
      </w:rPr>
      <w:instrText xml:space="preserve"> PAGE </w:instrText>
    </w:r>
    <w:r>
      <w:rPr>
        <w:rStyle w:val="Numrodepage"/>
        <w:lang w:val="fr-FR"/>
      </w:rPr>
      <w:fldChar w:fldCharType="separate"/>
    </w:r>
    <w:r w:rsidR="00FD0CAF">
      <w:rPr>
        <w:rStyle w:val="Numrodepage"/>
        <w:noProof/>
        <w:lang w:val="fr-FR"/>
      </w:rPr>
      <w:t>42</w:t>
    </w:r>
    <w:r>
      <w:rPr>
        <w:rStyle w:val="Numrodepage"/>
        <w:lang w:val="fr-FR"/>
      </w:rPr>
      <w:fldChar w:fldCharType="end"/>
    </w:r>
    <w:r w:rsidRPr="0045067D">
      <w:rPr>
        <w:rStyle w:val="Numrodepage"/>
        <w:lang w:val="fr-FR"/>
      </w:rPr>
      <w:tab/>
    </w:r>
    <w:r>
      <w:rPr>
        <w:noProof/>
        <w:lang w:val="fr-FR"/>
      </w:rPr>
      <w:t>ARRÊT</w:t>
    </w:r>
    <w:r w:rsidRPr="0045067D">
      <w:rPr>
        <w:lang w:val="fr-FR"/>
      </w:rPr>
      <w:t xml:space="preserve"> </w:t>
    </w:r>
    <w:r>
      <w:rPr>
        <w:lang w:val="fr-FR"/>
      </w:rPr>
      <w:t>PAPOSHVILI c. BELGIQUE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Pr="0045067D" w:rsidRDefault="00940DBB" w:rsidP="00C63990">
    <w:pPr>
      <w:pStyle w:val="ECHRHeader"/>
      <w:rPr>
        <w:lang w:val="fr-FR"/>
      </w:rPr>
    </w:pPr>
    <w:r w:rsidRPr="0045067D">
      <w:rPr>
        <w:lang w:val="fr-FR"/>
      </w:rPr>
      <w:tab/>
    </w:r>
    <w:r>
      <w:rPr>
        <w:noProof/>
        <w:lang w:val="fr-FR"/>
      </w:rPr>
      <w:t>ARRÊT</w:t>
    </w:r>
    <w:r w:rsidRPr="0045067D">
      <w:rPr>
        <w:lang w:val="fr-FR"/>
      </w:rPr>
      <w:t xml:space="preserve"> </w:t>
    </w:r>
    <w:r>
      <w:rPr>
        <w:lang w:val="fr-FR"/>
      </w:rPr>
      <w:t>PAPOSHVILI c. BELGIQUE</w:t>
    </w:r>
    <w:r w:rsidRPr="0045067D">
      <w:rPr>
        <w:lang w:val="fr-FR"/>
      </w:rPr>
      <w:tab/>
    </w:r>
    <w:r>
      <w:rPr>
        <w:rStyle w:val="Numrodepage"/>
        <w:lang w:val="fr-FR"/>
      </w:rPr>
      <w:fldChar w:fldCharType="begin"/>
    </w:r>
    <w:r>
      <w:rPr>
        <w:rStyle w:val="Numrodepage"/>
        <w:lang w:val="fr-FR"/>
      </w:rPr>
      <w:instrText xml:space="preserve"> PAGE </w:instrText>
    </w:r>
    <w:r>
      <w:rPr>
        <w:rStyle w:val="Numrodepage"/>
        <w:lang w:val="fr-FR"/>
      </w:rPr>
      <w:fldChar w:fldCharType="separate"/>
    </w:r>
    <w:r w:rsidR="00FD0CAF">
      <w:rPr>
        <w:rStyle w:val="Numrodepage"/>
        <w:noProof/>
        <w:lang w:val="fr-FR"/>
      </w:rPr>
      <w:t>43</w:t>
    </w:r>
    <w:r>
      <w:rPr>
        <w:rStyle w:val="Numrodepage"/>
        <w:lang w:val="fr-FR"/>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69" w:rsidRPr="0045067D" w:rsidRDefault="00402669" w:rsidP="00C611D8">
    <w:pPr>
      <w:pStyle w:val="ECHRHeader"/>
      <w:rPr>
        <w:lang w:val="fr-FR"/>
      </w:rPr>
    </w:pPr>
    <w:r>
      <w:rPr>
        <w:rStyle w:val="Numrodepage"/>
        <w:lang w:val="fr-FR"/>
      </w:rPr>
      <w:fldChar w:fldCharType="begin"/>
    </w:r>
    <w:r>
      <w:rPr>
        <w:rStyle w:val="Numrodepage"/>
        <w:lang w:val="fr-FR"/>
      </w:rPr>
      <w:instrText xml:space="preserve"> PAGE </w:instrText>
    </w:r>
    <w:r>
      <w:rPr>
        <w:rStyle w:val="Numrodepage"/>
        <w:lang w:val="fr-FR"/>
      </w:rPr>
      <w:fldChar w:fldCharType="separate"/>
    </w:r>
    <w:r w:rsidR="00FD0CAF">
      <w:rPr>
        <w:rStyle w:val="Numrodepage"/>
        <w:noProof/>
        <w:lang w:val="fr-FR"/>
      </w:rPr>
      <w:t>54</w:t>
    </w:r>
    <w:r>
      <w:rPr>
        <w:rStyle w:val="Numrodepage"/>
        <w:lang w:val="fr-FR"/>
      </w:rPr>
      <w:fldChar w:fldCharType="end"/>
    </w:r>
    <w:r w:rsidRPr="0045067D">
      <w:rPr>
        <w:rStyle w:val="Numrodepage"/>
        <w:lang w:val="fr-FR"/>
      </w:rPr>
      <w:tab/>
    </w:r>
    <w:r>
      <w:rPr>
        <w:noProof/>
        <w:lang w:val="fr-FR"/>
      </w:rPr>
      <w:t>ARRÊT</w:t>
    </w:r>
    <w:r w:rsidRPr="0045067D">
      <w:rPr>
        <w:lang w:val="fr-FR"/>
      </w:rPr>
      <w:t xml:space="preserve"> </w:t>
    </w:r>
    <w:r>
      <w:rPr>
        <w:lang w:val="fr-FR"/>
      </w:rPr>
      <w:t>PAPOSHVILI c. BELGIQUE</w:t>
    </w:r>
    <w:r w:rsidRPr="00402669">
      <w:rPr>
        <w:lang w:val="fr-FR"/>
      </w:rPr>
      <w:t xml:space="preserve"> – OPINION SÉPARÉE</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BB" w:rsidRPr="0045067D" w:rsidRDefault="00940DBB" w:rsidP="00C63990">
    <w:pPr>
      <w:pStyle w:val="ECHRHeader"/>
      <w:rPr>
        <w:lang w:val="fr-FR"/>
      </w:rPr>
    </w:pPr>
    <w:r w:rsidRPr="0045067D">
      <w:rPr>
        <w:lang w:val="fr-FR"/>
      </w:rPr>
      <w:tab/>
    </w:r>
    <w:r>
      <w:rPr>
        <w:noProof/>
        <w:lang w:val="fr-FR"/>
      </w:rPr>
      <w:t>ARRÊT</w:t>
    </w:r>
    <w:r w:rsidRPr="0045067D">
      <w:rPr>
        <w:lang w:val="fr-FR"/>
      </w:rPr>
      <w:t xml:space="preserve"> </w:t>
    </w:r>
    <w:r>
      <w:rPr>
        <w:lang w:val="fr-FR"/>
      </w:rPr>
      <w:t>PAPOSHVILI c. BELGIQUE – OPINION S</w:t>
    </w:r>
    <w:r>
      <w:rPr>
        <w:rFonts w:cstheme="minorHAnsi"/>
        <w:lang w:val="fr-FR"/>
      </w:rPr>
      <w:t>É</w:t>
    </w:r>
    <w:r>
      <w:rPr>
        <w:lang w:val="fr-FR"/>
      </w:rPr>
      <w:t>PAR</w:t>
    </w:r>
    <w:r>
      <w:rPr>
        <w:rFonts w:cstheme="minorHAnsi"/>
        <w:lang w:val="fr-FR"/>
      </w:rPr>
      <w:t>É</w:t>
    </w:r>
    <w:r>
      <w:rPr>
        <w:lang w:val="fr-FR"/>
      </w:rPr>
      <w:t>E</w:t>
    </w:r>
    <w:r w:rsidRPr="0045067D">
      <w:rPr>
        <w:lang w:val="fr-FR"/>
      </w:rPr>
      <w:tab/>
    </w:r>
    <w:r>
      <w:rPr>
        <w:rStyle w:val="Numrodepage"/>
        <w:lang w:val="fr-FR"/>
      </w:rPr>
      <w:fldChar w:fldCharType="begin"/>
    </w:r>
    <w:r>
      <w:rPr>
        <w:rStyle w:val="Numrodepage"/>
        <w:lang w:val="fr-FR"/>
      </w:rPr>
      <w:instrText xml:space="preserve"> PAGE </w:instrText>
    </w:r>
    <w:r>
      <w:rPr>
        <w:rStyle w:val="Numrodepage"/>
        <w:lang w:val="fr-FR"/>
      </w:rPr>
      <w:fldChar w:fldCharType="separate"/>
    </w:r>
    <w:r w:rsidR="00FD0CAF">
      <w:rPr>
        <w:rStyle w:val="Numrodepage"/>
        <w:noProof/>
        <w:lang w:val="fr-FR"/>
      </w:rPr>
      <w:t>53</w:t>
    </w:r>
    <w:r>
      <w:rPr>
        <w:rStyle w:val="Numrodepage"/>
        <w:lang w:val="fr-F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FA0A71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enumros"/>
      <w:lvlText w:val="%1."/>
      <w:lvlJc w:val="left"/>
      <w:pPr>
        <w:tabs>
          <w:tab w:val="num" w:pos="360"/>
        </w:tabs>
        <w:ind w:left="360" w:hanging="360"/>
      </w:pPr>
    </w:lvl>
  </w:abstractNum>
  <w:abstractNum w:abstractNumId="9">
    <w:nsid w:val="FFFFFF89"/>
    <w:multiLevelType w:val="singleLevel"/>
    <w:tmpl w:val="03AEA0B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4"/>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géorgien"/>
    <w:docVar w:name="NBEMMDOC" w:val="0"/>
    <w:docVar w:name="SignForeName" w:val="0"/>
  </w:docVars>
  <w:rsids>
    <w:rsidRoot w:val="002A4CEB"/>
    <w:rsid w:val="0000076E"/>
    <w:rsid w:val="00001646"/>
    <w:rsid w:val="00001C57"/>
    <w:rsid w:val="00002B78"/>
    <w:rsid w:val="00003BDA"/>
    <w:rsid w:val="00003D2C"/>
    <w:rsid w:val="000041F8"/>
    <w:rsid w:val="00004219"/>
    <w:rsid w:val="000042A8"/>
    <w:rsid w:val="00004308"/>
    <w:rsid w:val="00005162"/>
    <w:rsid w:val="00005BF0"/>
    <w:rsid w:val="00007154"/>
    <w:rsid w:val="000103AE"/>
    <w:rsid w:val="00011D69"/>
    <w:rsid w:val="00012AD3"/>
    <w:rsid w:val="00012BD2"/>
    <w:rsid w:val="00013592"/>
    <w:rsid w:val="00014A67"/>
    <w:rsid w:val="0001550E"/>
    <w:rsid w:val="00015C2D"/>
    <w:rsid w:val="00015F00"/>
    <w:rsid w:val="000178F2"/>
    <w:rsid w:val="00020705"/>
    <w:rsid w:val="00022A40"/>
    <w:rsid w:val="00022C1D"/>
    <w:rsid w:val="000237C8"/>
    <w:rsid w:val="00026195"/>
    <w:rsid w:val="00030DDF"/>
    <w:rsid w:val="000314B0"/>
    <w:rsid w:val="000321E3"/>
    <w:rsid w:val="00034987"/>
    <w:rsid w:val="0003590C"/>
    <w:rsid w:val="00036A10"/>
    <w:rsid w:val="0004282E"/>
    <w:rsid w:val="00042915"/>
    <w:rsid w:val="000461DF"/>
    <w:rsid w:val="000469CE"/>
    <w:rsid w:val="00054321"/>
    <w:rsid w:val="00054F6F"/>
    <w:rsid w:val="0005698B"/>
    <w:rsid w:val="00056D94"/>
    <w:rsid w:val="000602DF"/>
    <w:rsid w:val="00061B05"/>
    <w:rsid w:val="000632D5"/>
    <w:rsid w:val="000637B8"/>
    <w:rsid w:val="0006442B"/>
    <w:rsid w:val="000644EE"/>
    <w:rsid w:val="00064E7B"/>
    <w:rsid w:val="00066A71"/>
    <w:rsid w:val="00066F9E"/>
    <w:rsid w:val="0007002D"/>
    <w:rsid w:val="00070476"/>
    <w:rsid w:val="00077879"/>
    <w:rsid w:val="0008143D"/>
    <w:rsid w:val="00082BCB"/>
    <w:rsid w:val="00083651"/>
    <w:rsid w:val="00087DB0"/>
    <w:rsid w:val="00092019"/>
    <w:rsid w:val="000921AF"/>
    <w:rsid w:val="000925AD"/>
    <w:rsid w:val="000941FB"/>
    <w:rsid w:val="000942F7"/>
    <w:rsid w:val="00096305"/>
    <w:rsid w:val="000A07F0"/>
    <w:rsid w:val="000A24EB"/>
    <w:rsid w:val="000A5697"/>
    <w:rsid w:val="000A605A"/>
    <w:rsid w:val="000A66EC"/>
    <w:rsid w:val="000B0DE5"/>
    <w:rsid w:val="000B3E9B"/>
    <w:rsid w:val="000B5783"/>
    <w:rsid w:val="000B6923"/>
    <w:rsid w:val="000B7D62"/>
    <w:rsid w:val="000C10FF"/>
    <w:rsid w:val="000C313F"/>
    <w:rsid w:val="000C5F3C"/>
    <w:rsid w:val="000C6DCC"/>
    <w:rsid w:val="000C7DF9"/>
    <w:rsid w:val="000D40E8"/>
    <w:rsid w:val="000D47AA"/>
    <w:rsid w:val="000D721F"/>
    <w:rsid w:val="000D7787"/>
    <w:rsid w:val="000D7DF2"/>
    <w:rsid w:val="000E069B"/>
    <w:rsid w:val="000E0E82"/>
    <w:rsid w:val="000E104E"/>
    <w:rsid w:val="000E1DC5"/>
    <w:rsid w:val="000E223F"/>
    <w:rsid w:val="000E2F0C"/>
    <w:rsid w:val="000E7D45"/>
    <w:rsid w:val="000E7F7A"/>
    <w:rsid w:val="000F00EF"/>
    <w:rsid w:val="000F0671"/>
    <w:rsid w:val="000F22FB"/>
    <w:rsid w:val="000F2379"/>
    <w:rsid w:val="000F3742"/>
    <w:rsid w:val="000F51DE"/>
    <w:rsid w:val="000F64C9"/>
    <w:rsid w:val="000F710A"/>
    <w:rsid w:val="000F715A"/>
    <w:rsid w:val="000F7851"/>
    <w:rsid w:val="0010343C"/>
    <w:rsid w:val="001049DB"/>
    <w:rsid w:val="00104E23"/>
    <w:rsid w:val="00105220"/>
    <w:rsid w:val="0010607B"/>
    <w:rsid w:val="001072D3"/>
    <w:rsid w:val="00107C87"/>
    <w:rsid w:val="00107FD8"/>
    <w:rsid w:val="001105E7"/>
    <w:rsid w:val="00111822"/>
    <w:rsid w:val="00111992"/>
    <w:rsid w:val="00111B0C"/>
    <w:rsid w:val="001124A8"/>
    <w:rsid w:val="001148EB"/>
    <w:rsid w:val="00115B4C"/>
    <w:rsid w:val="00117D17"/>
    <w:rsid w:val="00120D6C"/>
    <w:rsid w:val="00121C38"/>
    <w:rsid w:val="0012510F"/>
    <w:rsid w:val="001257EC"/>
    <w:rsid w:val="00125DB9"/>
    <w:rsid w:val="0012726E"/>
    <w:rsid w:val="00127813"/>
    <w:rsid w:val="00130234"/>
    <w:rsid w:val="00130D4F"/>
    <w:rsid w:val="001321E7"/>
    <w:rsid w:val="00132375"/>
    <w:rsid w:val="001331D8"/>
    <w:rsid w:val="00133D33"/>
    <w:rsid w:val="001345D6"/>
    <w:rsid w:val="00134D64"/>
    <w:rsid w:val="001355DD"/>
    <w:rsid w:val="00135A30"/>
    <w:rsid w:val="0013612C"/>
    <w:rsid w:val="00136982"/>
    <w:rsid w:val="00137BCD"/>
    <w:rsid w:val="00137FF6"/>
    <w:rsid w:val="00141650"/>
    <w:rsid w:val="00143168"/>
    <w:rsid w:val="00144A98"/>
    <w:rsid w:val="00144DC5"/>
    <w:rsid w:val="001472F1"/>
    <w:rsid w:val="00147DD7"/>
    <w:rsid w:val="00147E9F"/>
    <w:rsid w:val="00151EF9"/>
    <w:rsid w:val="00153328"/>
    <w:rsid w:val="001535A3"/>
    <w:rsid w:val="00154A7B"/>
    <w:rsid w:val="00154A8A"/>
    <w:rsid w:val="00160B4F"/>
    <w:rsid w:val="001612A3"/>
    <w:rsid w:val="0016174F"/>
    <w:rsid w:val="00162A12"/>
    <w:rsid w:val="00166530"/>
    <w:rsid w:val="00166B4D"/>
    <w:rsid w:val="00166B82"/>
    <w:rsid w:val="00166EA7"/>
    <w:rsid w:val="00170D41"/>
    <w:rsid w:val="0017428E"/>
    <w:rsid w:val="00174EF2"/>
    <w:rsid w:val="001820BD"/>
    <w:rsid w:val="001832BD"/>
    <w:rsid w:val="00184169"/>
    <w:rsid w:val="00186033"/>
    <w:rsid w:val="00186DA2"/>
    <w:rsid w:val="00191A6D"/>
    <w:rsid w:val="001943B5"/>
    <w:rsid w:val="0019465D"/>
    <w:rsid w:val="00194C5A"/>
    <w:rsid w:val="00195134"/>
    <w:rsid w:val="001951DB"/>
    <w:rsid w:val="00196291"/>
    <w:rsid w:val="00196BA1"/>
    <w:rsid w:val="00197DE3"/>
    <w:rsid w:val="001A05F9"/>
    <w:rsid w:val="001A145B"/>
    <w:rsid w:val="001A330F"/>
    <w:rsid w:val="001A3877"/>
    <w:rsid w:val="001A3E0B"/>
    <w:rsid w:val="001A674C"/>
    <w:rsid w:val="001A6AC9"/>
    <w:rsid w:val="001B0133"/>
    <w:rsid w:val="001B051B"/>
    <w:rsid w:val="001B27E3"/>
    <w:rsid w:val="001B3B24"/>
    <w:rsid w:val="001B499F"/>
    <w:rsid w:val="001B5B28"/>
    <w:rsid w:val="001C0DAF"/>
    <w:rsid w:val="001C0F98"/>
    <w:rsid w:val="001C2877"/>
    <w:rsid w:val="001C2A42"/>
    <w:rsid w:val="001C3A96"/>
    <w:rsid w:val="001C5DFA"/>
    <w:rsid w:val="001C76A1"/>
    <w:rsid w:val="001D63ED"/>
    <w:rsid w:val="001D7348"/>
    <w:rsid w:val="001D7D01"/>
    <w:rsid w:val="001E035B"/>
    <w:rsid w:val="001E0961"/>
    <w:rsid w:val="001E11AD"/>
    <w:rsid w:val="001E3EAE"/>
    <w:rsid w:val="001E5865"/>
    <w:rsid w:val="001E6B5E"/>
    <w:rsid w:val="001E6F32"/>
    <w:rsid w:val="001F05B2"/>
    <w:rsid w:val="001F0BDE"/>
    <w:rsid w:val="001F13D5"/>
    <w:rsid w:val="001F2145"/>
    <w:rsid w:val="001F2860"/>
    <w:rsid w:val="001F2BA5"/>
    <w:rsid w:val="001F3C2F"/>
    <w:rsid w:val="001F3C3E"/>
    <w:rsid w:val="001F4E43"/>
    <w:rsid w:val="001F6262"/>
    <w:rsid w:val="001F67B0"/>
    <w:rsid w:val="001F7B3D"/>
    <w:rsid w:val="00200203"/>
    <w:rsid w:val="002011D4"/>
    <w:rsid w:val="0020596B"/>
    <w:rsid w:val="00205B14"/>
    <w:rsid w:val="00205E27"/>
    <w:rsid w:val="00205F9F"/>
    <w:rsid w:val="00206707"/>
    <w:rsid w:val="00206F7F"/>
    <w:rsid w:val="00210338"/>
    <w:rsid w:val="002115FC"/>
    <w:rsid w:val="00212642"/>
    <w:rsid w:val="0021423C"/>
    <w:rsid w:val="00214DD2"/>
    <w:rsid w:val="00215980"/>
    <w:rsid w:val="00217884"/>
    <w:rsid w:val="00217D06"/>
    <w:rsid w:val="00224943"/>
    <w:rsid w:val="00226464"/>
    <w:rsid w:val="002302D6"/>
    <w:rsid w:val="00230D00"/>
    <w:rsid w:val="00231A3D"/>
    <w:rsid w:val="00231DF7"/>
    <w:rsid w:val="00231FD1"/>
    <w:rsid w:val="00232FB3"/>
    <w:rsid w:val="002339E0"/>
    <w:rsid w:val="00233CF8"/>
    <w:rsid w:val="0023419F"/>
    <w:rsid w:val="0023575D"/>
    <w:rsid w:val="0023636B"/>
    <w:rsid w:val="00237148"/>
    <w:rsid w:val="0024222D"/>
    <w:rsid w:val="002429E4"/>
    <w:rsid w:val="00244B0E"/>
    <w:rsid w:val="00244F6C"/>
    <w:rsid w:val="00246B85"/>
    <w:rsid w:val="00252004"/>
    <w:rsid w:val="00252FCB"/>
    <w:rsid w:val="002532C5"/>
    <w:rsid w:val="00254093"/>
    <w:rsid w:val="002542DF"/>
    <w:rsid w:val="00255B23"/>
    <w:rsid w:val="00256DFE"/>
    <w:rsid w:val="00260C03"/>
    <w:rsid w:val="00263683"/>
    <w:rsid w:val="0026540E"/>
    <w:rsid w:val="002668F6"/>
    <w:rsid w:val="002677C0"/>
    <w:rsid w:val="00275123"/>
    <w:rsid w:val="00275FC5"/>
    <w:rsid w:val="00276176"/>
    <w:rsid w:val="00276F84"/>
    <w:rsid w:val="00277A64"/>
    <w:rsid w:val="002814EC"/>
    <w:rsid w:val="00281785"/>
    <w:rsid w:val="00282240"/>
    <w:rsid w:val="002823F5"/>
    <w:rsid w:val="00286C80"/>
    <w:rsid w:val="0028719E"/>
    <w:rsid w:val="00287691"/>
    <w:rsid w:val="00291379"/>
    <w:rsid w:val="00293714"/>
    <w:rsid w:val="002948AD"/>
    <w:rsid w:val="00297359"/>
    <w:rsid w:val="002A01CC"/>
    <w:rsid w:val="002A1536"/>
    <w:rsid w:val="002A23A4"/>
    <w:rsid w:val="002A2B97"/>
    <w:rsid w:val="002A409F"/>
    <w:rsid w:val="002A4CEB"/>
    <w:rsid w:val="002A58EC"/>
    <w:rsid w:val="002A5A1A"/>
    <w:rsid w:val="002A61B1"/>
    <w:rsid w:val="002A62CE"/>
    <w:rsid w:val="002A663C"/>
    <w:rsid w:val="002A7392"/>
    <w:rsid w:val="002B36B4"/>
    <w:rsid w:val="002B444B"/>
    <w:rsid w:val="002B5887"/>
    <w:rsid w:val="002B5CE1"/>
    <w:rsid w:val="002B680D"/>
    <w:rsid w:val="002B68BA"/>
    <w:rsid w:val="002B76B1"/>
    <w:rsid w:val="002B7E83"/>
    <w:rsid w:val="002B7FB0"/>
    <w:rsid w:val="002C034F"/>
    <w:rsid w:val="002C0B70"/>
    <w:rsid w:val="002C0E27"/>
    <w:rsid w:val="002C1699"/>
    <w:rsid w:val="002C1A3F"/>
    <w:rsid w:val="002C2217"/>
    <w:rsid w:val="002C3040"/>
    <w:rsid w:val="002C3860"/>
    <w:rsid w:val="002C3CFA"/>
    <w:rsid w:val="002C5937"/>
    <w:rsid w:val="002C6262"/>
    <w:rsid w:val="002C6915"/>
    <w:rsid w:val="002C7116"/>
    <w:rsid w:val="002D022D"/>
    <w:rsid w:val="002D1F03"/>
    <w:rsid w:val="002D23B6"/>
    <w:rsid w:val="002D24BB"/>
    <w:rsid w:val="002D448F"/>
    <w:rsid w:val="002D4F8D"/>
    <w:rsid w:val="002D62F8"/>
    <w:rsid w:val="002D73B9"/>
    <w:rsid w:val="002D7D31"/>
    <w:rsid w:val="002D7EC4"/>
    <w:rsid w:val="002E02CB"/>
    <w:rsid w:val="002E209F"/>
    <w:rsid w:val="002E2AA9"/>
    <w:rsid w:val="002E467E"/>
    <w:rsid w:val="002F2096"/>
    <w:rsid w:val="002F2AF7"/>
    <w:rsid w:val="002F7E1C"/>
    <w:rsid w:val="00300348"/>
    <w:rsid w:val="00301351"/>
    <w:rsid w:val="00301A75"/>
    <w:rsid w:val="00302F70"/>
    <w:rsid w:val="0030336F"/>
    <w:rsid w:val="003036F2"/>
    <w:rsid w:val="0030375E"/>
    <w:rsid w:val="00304E45"/>
    <w:rsid w:val="00305132"/>
    <w:rsid w:val="00305713"/>
    <w:rsid w:val="003064F1"/>
    <w:rsid w:val="003113F5"/>
    <w:rsid w:val="003125AA"/>
    <w:rsid w:val="00312A30"/>
    <w:rsid w:val="00312DD8"/>
    <w:rsid w:val="00313D0B"/>
    <w:rsid w:val="0031423C"/>
    <w:rsid w:val="00316CE6"/>
    <w:rsid w:val="00317797"/>
    <w:rsid w:val="00320F72"/>
    <w:rsid w:val="00322A0C"/>
    <w:rsid w:val="00322F38"/>
    <w:rsid w:val="0032463E"/>
    <w:rsid w:val="00325E4C"/>
    <w:rsid w:val="00326224"/>
    <w:rsid w:val="00327C09"/>
    <w:rsid w:val="00327FD2"/>
    <w:rsid w:val="00336F8B"/>
    <w:rsid w:val="00337EE4"/>
    <w:rsid w:val="00340FFD"/>
    <w:rsid w:val="00341B01"/>
    <w:rsid w:val="00344C31"/>
    <w:rsid w:val="0034573A"/>
    <w:rsid w:val="00346D85"/>
    <w:rsid w:val="00347D1C"/>
    <w:rsid w:val="00347FE4"/>
    <w:rsid w:val="003506B1"/>
    <w:rsid w:val="00351645"/>
    <w:rsid w:val="003524BE"/>
    <w:rsid w:val="00353CF3"/>
    <w:rsid w:val="00354CB5"/>
    <w:rsid w:val="00354F8C"/>
    <w:rsid w:val="00356AC7"/>
    <w:rsid w:val="0036001D"/>
    <w:rsid w:val="003609FA"/>
    <w:rsid w:val="00360A7F"/>
    <w:rsid w:val="003653FB"/>
    <w:rsid w:val="003655B8"/>
    <w:rsid w:val="00370A72"/>
    <w:rsid w:val="003710C8"/>
    <w:rsid w:val="00374206"/>
    <w:rsid w:val="00374870"/>
    <w:rsid w:val="00374AE8"/>
    <w:rsid w:val="003750BE"/>
    <w:rsid w:val="003758D4"/>
    <w:rsid w:val="00376D98"/>
    <w:rsid w:val="0038130E"/>
    <w:rsid w:val="0038220F"/>
    <w:rsid w:val="00385673"/>
    <w:rsid w:val="00386105"/>
    <w:rsid w:val="00387B9D"/>
    <w:rsid w:val="00390F86"/>
    <w:rsid w:val="003912A3"/>
    <w:rsid w:val="00392733"/>
    <w:rsid w:val="0039364F"/>
    <w:rsid w:val="003940A0"/>
    <w:rsid w:val="00396686"/>
    <w:rsid w:val="003966E2"/>
    <w:rsid w:val="00396C5F"/>
    <w:rsid w:val="00397383"/>
    <w:rsid w:val="0039778E"/>
    <w:rsid w:val="003A1454"/>
    <w:rsid w:val="003A17CF"/>
    <w:rsid w:val="003A1F1A"/>
    <w:rsid w:val="003A1FDD"/>
    <w:rsid w:val="003A29A4"/>
    <w:rsid w:val="003A41CF"/>
    <w:rsid w:val="003A7EB9"/>
    <w:rsid w:val="003A7EF0"/>
    <w:rsid w:val="003B2814"/>
    <w:rsid w:val="003B34E6"/>
    <w:rsid w:val="003B363E"/>
    <w:rsid w:val="003B4941"/>
    <w:rsid w:val="003B7FED"/>
    <w:rsid w:val="003C014F"/>
    <w:rsid w:val="003C083D"/>
    <w:rsid w:val="003C0F17"/>
    <w:rsid w:val="003C1EAF"/>
    <w:rsid w:val="003C2967"/>
    <w:rsid w:val="003C2FED"/>
    <w:rsid w:val="003C5714"/>
    <w:rsid w:val="003C6B9F"/>
    <w:rsid w:val="003C6E2A"/>
    <w:rsid w:val="003D0299"/>
    <w:rsid w:val="003D071B"/>
    <w:rsid w:val="003D09B9"/>
    <w:rsid w:val="003D0F4B"/>
    <w:rsid w:val="003D193D"/>
    <w:rsid w:val="003D3ABF"/>
    <w:rsid w:val="003D3ED7"/>
    <w:rsid w:val="003D7D66"/>
    <w:rsid w:val="003E10DC"/>
    <w:rsid w:val="003E120F"/>
    <w:rsid w:val="003E27BB"/>
    <w:rsid w:val="003E3D56"/>
    <w:rsid w:val="003E463D"/>
    <w:rsid w:val="003E5199"/>
    <w:rsid w:val="003E6D80"/>
    <w:rsid w:val="003F05FA"/>
    <w:rsid w:val="003F064E"/>
    <w:rsid w:val="003F0AB9"/>
    <w:rsid w:val="003F1BC1"/>
    <w:rsid w:val="003F244A"/>
    <w:rsid w:val="003F30B8"/>
    <w:rsid w:val="003F4C45"/>
    <w:rsid w:val="003F5F7B"/>
    <w:rsid w:val="003F7D64"/>
    <w:rsid w:val="00402175"/>
    <w:rsid w:val="00402669"/>
    <w:rsid w:val="00402AB0"/>
    <w:rsid w:val="004069B9"/>
    <w:rsid w:val="00410352"/>
    <w:rsid w:val="00410995"/>
    <w:rsid w:val="00410CAF"/>
    <w:rsid w:val="00412A68"/>
    <w:rsid w:val="00414300"/>
    <w:rsid w:val="004145DD"/>
    <w:rsid w:val="004147EA"/>
    <w:rsid w:val="00414880"/>
    <w:rsid w:val="00423DF4"/>
    <w:rsid w:val="004254BF"/>
    <w:rsid w:val="00425C67"/>
    <w:rsid w:val="004265B7"/>
    <w:rsid w:val="00427E7A"/>
    <w:rsid w:val="0043081D"/>
    <w:rsid w:val="00433276"/>
    <w:rsid w:val="004339DC"/>
    <w:rsid w:val="00434029"/>
    <w:rsid w:val="00434EC4"/>
    <w:rsid w:val="00436C49"/>
    <w:rsid w:val="004408DF"/>
    <w:rsid w:val="00441E73"/>
    <w:rsid w:val="0044388D"/>
    <w:rsid w:val="00443969"/>
    <w:rsid w:val="0044533F"/>
    <w:rsid w:val="00445366"/>
    <w:rsid w:val="004479CD"/>
    <w:rsid w:val="00447F5B"/>
    <w:rsid w:val="0045067D"/>
    <w:rsid w:val="0045070B"/>
    <w:rsid w:val="00450D2B"/>
    <w:rsid w:val="00454896"/>
    <w:rsid w:val="00455460"/>
    <w:rsid w:val="0045569B"/>
    <w:rsid w:val="004609F1"/>
    <w:rsid w:val="00461DB0"/>
    <w:rsid w:val="00462D5D"/>
    <w:rsid w:val="00463926"/>
    <w:rsid w:val="00464C67"/>
    <w:rsid w:val="00464C9A"/>
    <w:rsid w:val="00465483"/>
    <w:rsid w:val="004670F8"/>
    <w:rsid w:val="00470E72"/>
    <w:rsid w:val="0047227A"/>
    <w:rsid w:val="00472AB3"/>
    <w:rsid w:val="00472C24"/>
    <w:rsid w:val="004735FF"/>
    <w:rsid w:val="004741F5"/>
    <w:rsid w:val="00474F3D"/>
    <w:rsid w:val="004759C9"/>
    <w:rsid w:val="00477DB7"/>
    <w:rsid w:val="00477E3A"/>
    <w:rsid w:val="004806ED"/>
    <w:rsid w:val="004826B5"/>
    <w:rsid w:val="00482949"/>
    <w:rsid w:val="00483351"/>
    <w:rsid w:val="00483E5F"/>
    <w:rsid w:val="00485F04"/>
    <w:rsid w:val="00485FF9"/>
    <w:rsid w:val="00486AB1"/>
    <w:rsid w:val="004907F0"/>
    <w:rsid w:val="0049140B"/>
    <w:rsid w:val="004918DB"/>
    <w:rsid w:val="00491C9A"/>
    <w:rsid w:val="00491CC4"/>
    <w:rsid w:val="004923A5"/>
    <w:rsid w:val="00493B3A"/>
    <w:rsid w:val="004946FA"/>
    <w:rsid w:val="00494717"/>
    <w:rsid w:val="004951E6"/>
    <w:rsid w:val="004957B8"/>
    <w:rsid w:val="00495E86"/>
    <w:rsid w:val="00496BFB"/>
    <w:rsid w:val="00497EA9"/>
    <w:rsid w:val="004A15C7"/>
    <w:rsid w:val="004A277E"/>
    <w:rsid w:val="004A2E60"/>
    <w:rsid w:val="004B013B"/>
    <w:rsid w:val="004B112B"/>
    <w:rsid w:val="004B1DC6"/>
    <w:rsid w:val="004B53FD"/>
    <w:rsid w:val="004B6621"/>
    <w:rsid w:val="004B73E2"/>
    <w:rsid w:val="004C01E4"/>
    <w:rsid w:val="004C086C"/>
    <w:rsid w:val="004C1561"/>
    <w:rsid w:val="004C1992"/>
    <w:rsid w:val="004C1F56"/>
    <w:rsid w:val="004C27BC"/>
    <w:rsid w:val="004D08D2"/>
    <w:rsid w:val="004D15F3"/>
    <w:rsid w:val="004D3CC8"/>
    <w:rsid w:val="004D5311"/>
    <w:rsid w:val="004D5DCC"/>
    <w:rsid w:val="004D6A77"/>
    <w:rsid w:val="004D7945"/>
    <w:rsid w:val="004E5DD9"/>
    <w:rsid w:val="004E7037"/>
    <w:rsid w:val="004E72B3"/>
    <w:rsid w:val="004E7E30"/>
    <w:rsid w:val="004F10AF"/>
    <w:rsid w:val="004F11A4"/>
    <w:rsid w:val="004F2389"/>
    <w:rsid w:val="004F2979"/>
    <w:rsid w:val="004F304D"/>
    <w:rsid w:val="004F61BE"/>
    <w:rsid w:val="004F66B1"/>
    <w:rsid w:val="004F7C05"/>
    <w:rsid w:val="004F7CD2"/>
    <w:rsid w:val="00500EF8"/>
    <w:rsid w:val="00501021"/>
    <w:rsid w:val="0050362E"/>
    <w:rsid w:val="00503913"/>
    <w:rsid w:val="00505975"/>
    <w:rsid w:val="00507F9B"/>
    <w:rsid w:val="00511C07"/>
    <w:rsid w:val="0051429B"/>
    <w:rsid w:val="005145C4"/>
    <w:rsid w:val="00515AFD"/>
    <w:rsid w:val="005173A6"/>
    <w:rsid w:val="00520BAA"/>
    <w:rsid w:val="005213D1"/>
    <w:rsid w:val="00525208"/>
    <w:rsid w:val="005257A5"/>
    <w:rsid w:val="005264C0"/>
    <w:rsid w:val="00526A8A"/>
    <w:rsid w:val="00527DD0"/>
    <w:rsid w:val="00531DF2"/>
    <w:rsid w:val="005353D9"/>
    <w:rsid w:val="005419AB"/>
    <w:rsid w:val="005442EE"/>
    <w:rsid w:val="00545B90"/>
    <w:rsid w:val="00547353"/>
    <w:rsid w:val="005474E7"/>
    <w:rsid w:val="005512A3"/>
    <w:rsid w:val="0055144A"/>
    <w:rsid w:val="00552C06"/>
    <w:rsid w:val="00555C46"/>
    <w:rsid w:val="00556C9B"/>
    <w:rsid w:val="005578CE"/>
    <w:rsid w:val="005612CF"/>
    <w:rsid w:val="00562457"/>
    <w:rsid w:val="00562781"/>
    <w:rsid w:val="00564F5B"/>
    <w:rsid w:val="00565108"/>
    <w:rsid w:val="00566627"/>
    <w:rsid w:val="00567EBD"/>
    <w:rsid w:val="0057271C"/>
    <w:rsid w:val="00572845"/>
    <w:rsid w:val="0057474C"/>
    <w:rsid w:val="00574C83"/>
    <w:rsid w:val="00580FD1"/>
    <w:rsid w:val="005810E6"/>
    <w:rsid w:val="00590FFC"/>
    <w:rsid w:val="00592772"/>
    <w:rsid w:val="0059574A"/>
    <w:rsid w:val="00596468"/>
    <w:rsid w:val="005964B6"/>
    <w:rsid w:val="005969DF"/>
    <w:rsid w:val="0059749E"/>
    <w:rsid w:val="005A02CB"/>
    <w:rsid w:val="005A14C3"/>
    <w:rsid w:val="005A1B1C"/>
    <w:rsid w:val="005A1B9B"/>
    <w:rsid w:val="005A2EA1"/>
    <w:rsid w:val="005A60A0"/>
    <w:rsid w:val="005A6751"/>
    <w:rsid w:val="005A6AC7"/>
    <w:rsid w:val="005A6BA8"/>
    <w:rsid w:val="005A74F9"/>
    <w:rsid w:val="005B092E"/>
    <w:rsid w:val="005B152C"/>
    <w:rsid w:val="005B1EE0"/>
    <w:rsid w:val="005B2B24"/>
    <w:rsid w:val="005B3B0F"/>
    <w:rsid w:val="005B425E"/>
    <w:rsid w:val="005B4425"/>
    <w:rsid w:val="005B4B94"/>
    <w:rsid w:val="005B4E88"/>
    <w:rsid w:val="005B5F96"/>
    <w:rsid w:val="005C037D"/>
    <w:rsid w:val="005C2983"/>
    <w:rsid w:val="005C3099"/>
    <w:rsid w:val="005C330A"/>
    <w:rsid w:val="005C3EE8"/>
    <w:rsid w:val="005C534E"/>
    <w:rsid w:val="005C67AA"/>
    <w:rsid w:val="005C6BE4"/>
    <w:rsid w:val="005C73B1"/>
    <w:rsid w:val="005D3045"/>
    <w:rsid w:val="005D34F9"/>
    <w:rsid w:val="005D4190"/>
    <w:rsid w:val="005D4AB7"/>
    <w:rsid w:val="005D56FD"/>
    <w:rsid w:val="005D67A3"/>
    <w:rsid w:val="005E244F"/>
    <w:rsid w:val="005E2988"/>
    <w:rsid w:val="005E3085"/>
    <w:rsid w:val="005E37C6"/>
    <w:rsid w:val="005E3802"/>
    <w:rsid w:val="005E3AF1"/>
    <w:rsid w:val="005E52BF"/>
    <w:rsid w:val="005F2811"/>
    <w:rsid w:val="005F4029"/>
    <w:rsid w:val="005F51E1"/>
    <w:rsid w:val="005F563F"/>
    <w:rsid w:val="005F6576"/>
    <w:rsid w:val="00600E1C"/>
    <w:rsid w:val="00602576"/>
    <w:rsid w:val="00605D6F"/>
    <w:rsid w:val="00606EF6"/>
    <w:rsid w:val="00607F7E"/>
    <w:rsid w:val="0061005D"/>
    <w:rsid w:val="00610B03"/>
    <w:rsid w:val="00610D86"/>
    <w:rsid w:val="00611C80"/>
    <w:rsid w:val="00611D83"/>
    <w:rsid w:val="0061379A"/>
    <w:rsid w:val="00613BC9"/>
    <w:rsid w:val="00616D85"/>
    <w:rsid w:val="00620692"/>
    <w:rsid w:val="006225C8"/>
    <w:rsid w:val="006230AA"/>
    <w:rsid w:val="00623190"/>
    <w:rsid w:val="00623FC0"/>
    <w:rsid w:val="0062426D"/>
    <w:rsid w:val="006242CA"/>
    <w:rsid w:val="00624606"/>
    <w:rsid w:val="00624C3C"/>
    <w:rsid w:val="00626841"/>
    <w:rsid w:val="006274A2"/>
    <w:rsid w:val="00627507"/>
    <w:rsid w:val="0063269B"/>
    <w:rsid w:val="00633717"/>
    <w:rsid w:val="006344E1"/>
    <w:rsid w:val="00635268"/>
    <w:rsid w:val="00635609"/>
    <w:rsid w:val="0063745F"/>
    <w:rsid w:val="006425F5"/>
    <w:rsid w:val="00642A20"/>
    <w:rsid w:val="006445CE"/>
    <w:rsid w:val="0064666A"/>
    <w:rsid w:val="006514CD"/>
    <w:rsid w:val="00651A56"/>
    <w:rsid w:val="00652164"/>
    <w:rsid w:val="0065298D"/>
    <w:rsid w:val="006545C4"/>
    <w:rsid w:val="006600EE"/>
    <w:rsid w:val="00661971"/>
    <w:rsid w:val="00661CE8"/>
    <w:rsid w:val="006623D9"/>
    <w:rsid w:val="00662ED2"/>
    <w:rsid w:val="0066550C"/>
    <w:rsid w:val="00666DF9"/>
    <w:rsid w:val="00667B26"/>
    <w:rsid w:val="006716F2"/>
    <w:rsid w:val="006774F6"/>
    <w:rsid w:val="0068165B"/>
    <w:rsid w:val="006821B2"/>
    <w:rsid w:val="00682BF2"/>
    <w:rsid w:val="00682FF6"/>
    <w:rsid w:val="00683007"/>
    <w:rsid w:val="00683B55"/>
    <w:rsid w:val="006859CE"/>
    <w:rsid w:val="006872B3"/>
    <w:rsid w:val="006872E4"/>
    <w:rsid w:val="00691270"/>
    <w:rsid w:val="00694240"/>
    <w:rsid w:val="00694A2E"/>
    <w:rsid w:val="00694BA8"/>
    <w:rsid w:val="006958F2"/>
    <w:rsid w:val="00695A04"/>
    <w:rsid w:val="00697746"/>
    <w:rsid w:val="006A037C"/>
    <w:rsid w:val="006A0C28"/>
    <w:rsid w:val="006A1051"/>
    <w:rsid w:val="006A1FE5"/>
    <w:rsid w:val="006A36F4"/>
    <w:rsid w:val="006A406F"/>
    <w:rsid w:val="006A5D3A"/>
    <w:rsid w:val="006B00D1"/>
    <w:rsid w:val="006B0EC6"/>
    <w:rsid w:val="006B5AC4"/>
    <w:rsid w:val="006B70A7"/>
    <w:rsid w:val="006C1BCB"/>
    <w:rsid w:val="006C23D4"/>
    <w:rsid w:val="006C25CD"/>
    <w:rsid w:val="006C45CC"/>
    <w:rsid w:val="006C4998"/>
    <w:rsid w:val="006C4D12"/>
    <w:rsid w:val="006C541B"/>
    <w:rsid w:val="006C64BE"/>
    <w:rsid w:val="006C65BC"/>
    <w:rsid w:val="006C77A2"/>
    <w:rsid w:val="006C7BB0"/>
    <w:rsid w:val="006D0694"/>
    <w:rsid w:val="006D3237"/>
    <w:rsid w:val="006D3862"/>
    <w:rsid w:val="006D3D76"/>
    <w:rsid w:val="006D65DE"/>
    <w:rsid w:val="006D7129"/>
    <w:rsid w:val="006E07E2"/>
    <w:rsid w:val="006E2C6B"/>
    <w:rsid w:val="006E2E37"/>
    <w:rsid w:val="006E3CF1"/>
    <w:rsid w:val="006E5678"/>
    <w:rsid w:val="006E5806"/>
    <w:rsid w:val="006E7E80"/>
    <w:rsid w:val="006F355F"/>
    <w:rsid w:val="006F48CA"/>
    <w:rsid w:val="006F54B9"/>
    <w:rsid w:val="006F64DD"/>
    <w:rsid w:val="007018C3"/>
    <w:rsid w:val="00702A13"/>
    <w:rsid w:val="0070426D"/>
    <w:rsid w:val="0070474E"/>
    <w:rsid w:val="00705C5F"/>
    <w:rsid w:val="00706B4E"/>
    <w:rsid w:val="007074BC"/>
    <w:rsid w:val="00710018"/>
    <w:rsid w:val="00710AEB"/>
    <w:rsid w:val="00711B9F"/>
    <w:rsid w:val="00712647"/>
    <w:rsid w:val="007139A7"/>
    <w:rsid w:val="00715127"/>
    <w:rsid w:val="00715E8E"/>
    <w:rsid w:val="007163B3"/>
    <w:rsid w:val="00716BD7"/>
    <w:rsid w:val="007207CD"/>
    <w:rsid w:val="00721B63"/>
    <w:rsid w:val="00723580"/>
    <w:rsid w:val="00723755"/>
    <w:rsid w:val="00726499"/>
    <w:rsid w:val="0073082F"/>
    <w:rsid w:val="0073136C"/>
    <w:rsid w:val="00731E42"/>
    <w:rsid w:val="00731F0F"/>
    <w:rsid w:val="00733250"/>
    <w:rsid w:val="00733799"/>
    <w:rsid w:val="00734BD9"/>
    <w:rsid w:val="007356F3"/>
    <w:rsid w:val="0073638F"/>
    <w:rsid w:val="00736870"/>
    <w:rsid w:val="00741404"/>
    <w:rsid w:val="00741505"/>
    <w:rsid w:val="00741D13"/>
    <w:rsid w:val="00742E88"/>
    <w:rsid w:val="00743283"/>
    <w:rsid w:val="00743A7B"/>
    <w:rsid w:val="007449E5"/>
    <w:rsid w:val="00747FF0"/>
    <w:rsid w:val="0075093A"/>
    <w:rsid w:val="007514F8"/>
    <w:rsid w:val="007544AE"/>
    <w:rsid w:val="00754566"/>
    <w:rsid w:val="00754567"/>
    <w:rsid w:val="007600A5"/>
    <w:rsid w:val="00760AC2"/>
    <w:rsid w:val="00761BF3"/>
    <w:rsid w:val="007632CC"/>
    <w:rsid w:val="00764D02"/>
    <w:rsid w:val="00764D4E"/>
    <w:rsid w:val="00765A1F"/>
    <w:rsid w:val="0077193F"/>
    <w:rsid w:val="00772847"/>
    <w:rsid w:val="00774450"/>
    <w:rsid w:val="00774660"/>
    <w:rsid w:val="007746BA"/>
    <w:rsid w:val="00775B6D"/>
    <w:rsid w:val="00776D68"/>
    <w:rsid w:val="007770D9"/>
    <w:rsid w:val="00777FF3"/>
    <w:rsid w:val="00784DE5"/>
    <w:rsid w:val="007850EE"/>
    <w:rsid w:val="00785B95"/>
    <w:rsid w:val="007869FE"/>
    <w:rsid w:val="007875D7"/>
    <w:rsid w:val="00790E96"/>
    <w:rsid w:val="00792530"/>
    <w:rsid w:val="00793366"/>
    <w:rsid w:val="00793C3A"/>
    <w:rsid w:val="0079412C"/>
    <w:rsid w:val="007952DA"/>
    <w:rsid w:val="00796BD8"/>
    <w:rsid w:val="007A0E5D"/>
    <w:rsid w:val="007A1059"/>
    <w:rsid w:val="007A25BD"/>
    <w:rsid w:val="007A490B"/>
    <w:rsid w:val="007A51FF"/>
    <w:rsid w:val="007A6BC8"/>
    <w:rsid w:val="007A6F22"/>
    <w:rsid w:val="007A716F"/>
    <w:rsid w:val="007A74D9"/>
    <w:rsid w:val="007B20BF"/>
    <w:rsid w:val="007B270A"/>
    <w:rsid w:val="007B2E88"/>
    <w:rsid w:val="007B4B56"/>
    <w:rsid w:val="007B5742"/>
    <w:rsid w:val="007C0695"/>
    <w:rsid w:val="007C096F"/>
    <w:rsid w:val="007C1214"/>
    <w:rsid w:val="007C1D53"/>
    <w:rsid w:val="007C3892"/>
    <w:rsid w:val="007C419A"/>
    <w:rsid w:val="007C4CC8"/>
    <w:rsid w:val="007C5426"/>
    <w:rsid w:val="007C5798"/>
    <w:rsid w:val="007C5D04"/>
    <w:rsid w:val="007D1943"/>
    <w:rsid w:val="007D4568"/>
    <w:rsid w:val="007D47AE"/>
    <w:rsid w:val="007D4832"/>
    <w:rsid w:val="007D79A7"/>
    <w:rsid w:val="007E0090"/>
    <w:rsid w:val="007E21B2"/>
    <w:rsid w:val="007E2C4E"/>
    <w:rsid w:val="007E3543"/>
    <w:rsid w:val="007E3ED4"/>
    <w:rsid w:val="007E48C2"/>
    <w:rsid w:val="007E5FC0"/>
    <w:rsid w:val="007E7EDB"/>
    <w:rsid w:val="007F0808"/>
    <w:rsid w:val="007F0A91"/>
    <w:rsid w:val="007F1170"/>
    <w:rsid w:val="007F1905"/>
    <w:rsid w:val="007F47CF"/>
    <w:rsid w:val="007F720F"/>
    <w:rsid w:val="00800622"/>
    <w:rsid w:val="00801300"/>
    <w:rsid w:val="0080142D"/>
    <w:rsid w:val="008028A5"/>
    <w:rsid w:val="00802C64"/>
    <w:rsid w:val="0080452E"/>
    <w:rsid w:val="00805E52"/>
    <w:rsid w:val="008061D0"/>
    <w:rsid w:val="00806590"/>
    <w:rsid w:val="00806EA1"/>
    <w:rsid w:val="00810B38"/>
    <w:rsid w:val="00812B8B"/>
    <w:rsid w:val="00814699"/>
    <w:rsid w:val="00815F08"/>
    <w:rsid w:val="0081647A"/>
    <w:rsid w:val="008204C7"/>
    <w:rsid w:val="00820627"/>
    <w:rsid w:val="00820992"/>
    <w:rsid w:val="00820EB8"/>
    <w:rsid w:val="008216F3"/>
    <w:rsid w:val="008225D9"/>
    <w:rsid w:val="00823602"/>
    <w:rsid w:val="008250BE"/>
    <w:rsid w:val="008255F5"/>
    <w:rsid w:val="00826028"/>
    <w:rsid w:val="0082638D"/>
    <w:rsid w:val="00826DB3"/>
    <w:rsid w:val="00826E60"/>
    <w:rsid w:val="0083014E"/>
    <w:rsid w:val="0083214A"/>
    <w:rsid w:val="0083224F"/>
    <w:rsid w:val="00833A3A"/>
    <w:rsid w:val="00834220"/>
    <w:rsid w:val="00837C32"/>
    <w:rsid w:val="00840666"/>
    <w:rsid w:val="0084351A"/>
    <w:rsid w:val="00845723"/>
    <w:rsid w:val="008462CD"/>
    <w:rsid w:val="00850E50"/>
    <w:rsid w:val="00851EF9"/>
    <w:rsid w:val="00853A61"/>
    <w:rsid w:val="00853FDC"/>
    <w:rsid w:val="00854455"/>
    <w:rsid w:val="00855836"/>
    <w:rsid w:val="008577FD"/>
    <w:rsid w:val="00860B03"/>
    <w:rsid w:val="00861090"/>
    <w:rsid w:val="008631B1"/>
    <w:rsid w:val="0086497A"/>
    <w:rsid w:val="00867205"/>
    <w:rsid w:val="00867EAD"/>
    <w:rsid w:val="008713A1"/>
    <w:rsid w:val="00871E98"/>
    <w:rsid w:val="00873D26"/>
    <w:rsid w:val="00873DCE"/>
    <w:rsid w:val="00873E2A"/>
    <w:rsid w:val="008754AB"/>
    <w:rsid w:val="00875AB3"/>
    <w:rsid w:val="008773DB"/>
    <w:rsid w:val="0088060C"/>
    <w:rsid w:val="0088072A"/>
    <w:rsid w:val="00880B96"/>
    <w:rsid w:val="00880E8E"/>
    <w:rsid w:val="008824F7"/>
    <w:rsid w:val="00884F51"/>
    <w:rsid w:val="00885BCA"/>
    <w:rsid w:val="008872C7"/>
    <w:rsid w:val="00892B57"/>
    <w:rsid w:val="00893576"/>
    <w:rsid w:val="00893E73"/>
    <w:rsid w:val="0089414D"/>
    <w:rsid w:val="008941EC"/>
    <w:rsid w:val="0089454C"/>
    <w:rsid w:val="008970B2"/>
    <w:rsid w:val="008A2D1C"/>
    <w:rsid w:val="008B02DC"/>
    <w:rsid w:val="008B0595"/>
    <w:rsid w:val="008B2666"/>
    <w:rsid w:val="008B441B"/>
    <w:rsid w:val="008B57CE"/>
    <w:rsid w:val="008B648F"/>
    <w:rsid w:val="008C26DE"/>
    <w:rsid w:val="008C2899"/>
    <w:rsid w:val="008D05C4"/>
    <w:rsid w:val="008D2225"/>
    <w:rsid w:val="008D46B4"/>
    <w:rsid w:val="008D4752"/>
    <w:rsid w:val="008D4A3C"/>
    <w:rsid w:val="008D53D0"/>
    <w:rsid w:val="008D693B"/>
    <w:rsid w:val="008D7232"/>
    <w:rsid w:val="008D7298"/>
    <w:rsid w:val="008D7318"/>
    <w:rsid w:val="008E271C"/>
    <w:rsid w:val="008E3A2C"/>
    <w:rsid w:val="008E418E"/>
    <w:rsid w:val="008E5BC6"/>
    <w:rsid w:val="008E6A25"/>
    <w:rsid w:val="008F21D7"/>
    <w:rsid w:val="008F472D"/>
    <w:rsid w:val="008F5036"/>
    <w:rsid w:val="008F5193"/>
    <w:rsid w:val="009013A7"/>
    <w:rsid w:val="009017FB"/>
    <w:rsid w:val="009017FC"/>
    <w:rsid w:val="00903AEB"/>
    <w:rsid w:val="00904259"/>
    <w:rsid w:val="0090506B"/>
    <w:rsid w:val="009050C9"/>
    <w:rsid w:val="009066FC"/>
    <w:rsid w:val="00910376"/>
    <w:rsid w:val="0091045D"/>
    <w:rsid w:val="00912274"/>
    <w:rsid w:val="00912BF8"/>
    <w:rsid w:val="009140A3"/>
    <w:rsid w:val="009144A2"/>
    <w:rsid w:val="0091510C"/>
    <w:rsid w:val="0092045A"/>
    <w:rsid w:val="00921E81"/>
    <w:rsid w:val="0092477B"/>
    <w:rsid w:val="009259AC"/>
    <w:rsid w:val="00926144"/>
    <w:rsid w:val="00926676"/>
    <w:rsid w:val="00926AD5"/>
    <w:rsid w:val="00926F38"/>
    <w:rsid w:val="00932DA2"/>
    <w:rsid w:val="00934301"/>
    <w:rsid w:val="00936991"/>
    <w:rsid w:val="00936C2D"/>
    <w:rsid w:val="00936CD1"/>
    <w:rsid w:val="00937037"/>
    <w:rsid w:val="00937F7F"/>
    <w:rsid w:val="00940DBB"/>
    <w:rsid w:val="00941747"/>
    <w:rsid w:val="00941855"/>
    <w:rsid w:val="00941EFB"/>
    <w:rsid w:val="009472B8"/>
    <w:rsid w:val="00947AFB"/>
    <w:rsid w:val="00951D7D"/>
    <w:rsid w:val="009520A8"/>
    <w:rsid w:val="0095339B"/>
    <w:rsid w:val="0095492F"/>
    <w:rsid w:val="009564B0"/>
    <w:rsid w:val="009566AB"/>
    <w:rsid w:val="009620A7"/>
    <w:rsid w:val="00962208"/>
    <w:rsid w:val="00962360"/>
    <w:rsid w:val="009630C7"/>
    <w:rsid w:val="00963A36"/>
    <w:rsid w:val="00965985"/>
    <w:rsid w:val="0096753C"/>
    <w:rsid w:val="00970008"/>
    <w:rsid w:val="00970121"/>
    <w:rsid w:val="00972B55"/>
    <w:rsid w:val="009743B7"/>
    <w:rsid w:val="00980C3B"/>
    <w:rsid w:val="0098228B"/>
    <w:rsid w:val="009822D0"/>
    <w:rsid w:val="009828DA"/>
    <w:rsid w:val="00982EE8"/>
    <w:rsid w:val="00985BAB"/>
    <w:rsid w:val="0098741E"/>
    <w:rsid w:val="00987C33"/>
    <w:rsid w:val="009948B9"/>
    <w:rsid w:val="00997E06"/>
    <w:rsid w:val="009A34EB"/>
    <w:rsid w:val="009A4009"/>
    <w:rsid w:val="009A72F1"/>
    <w:rsid w:val="009A74E7"/>
    <w:rsid w:val="009B0C85"/>
    <w:rsid w:val="009B1B5F"/>
    <w:rsid w:val="009B1F6D"/>
    <w:rsid w:val="009B6673"/>
    <w:rsid w:val="009C191B"/>
    <w:rsid w:val="009C2BD6"/>
    <w:rsid w:val="009C2D20"/>
    <w:rsid w:val="009C42E3"/>
    <w:rsid w:val="009C4327"/>
    <w:rsid w:val="009C4ECA"/>
    <w:rsid w:val="009C5D02"/>
    <w:rsid w:val="009D0457"/>
    <w:rsid w:val="009D21E6"/>
    <w:rsid w:val="009D3869"/>
    <w:rsid w:val="009D52D4"/>
    <w:rsid w:val="009D5B87"/>
    <w:rsid w:val="009D67F2"/>
    <w:rsid w:val="009E1D3D"/>
    <w:rsid w:val="009E1F32"/>
    <w:rsid w:val="009E21DC"/>
    <w:rsid w:val="009E68C8"/>
    <w:rsid w:val="009E776C"/>
    <w:rsid w:val="009F304A"/>
    <w:rsid w:val="009F30FA"/>
    <w:rsid w:val="009F6A3E"/>
    <w:rsid w:val="00A00144"/>
    <w:rsid w:val="00A016B2"/>
    <w:rsid w:val="00A01792"/>
    <w:rsid w:val="00A05312"/>
    <w:rsid w:val="00A05F2D"/>
    <w:rsid w:val="00A07A90"/>
    <w:rsid w:val="00A07BD2"/>
    <w:rsid w:val="00A10AF2"/>
    <w:rsid w:val="00A1362E"/>
    <w:rsid w:val="00A16B4C"/>
    <w:rsid w:val="00A1726E"/>
    <w:rsid w:val="00A17D8F"/>
    <w:rsid w:val="00A204CF"/>
    <w:rsid w:val="00A22974"/>
    <w:rsid w:val="00A23C7F"/>
    <w:rsid w:val="00A23D49"/>
    <w:rsid w:val="00A27004"/>
    <w:rsid w:val="00A30C29"/>
    <w:rsid w:val="00A345F7"/>
    <w:rsid w:val="00A34DD6"/>
    <w:rsid w:val="00A36819"/>
    <w:rsid w:val="00A36989"/>
    <w:rsid w:val="00A37885"/>
    <w:rsid w:val="00A40E59"/>
    <w:rsid w:val="00A4146C"/>
    <w:rsid w:val="00A4221C"/>
    <w:rsid w:val="00A42849"/>
    <w:rsid w:val="00A42E9D"/>
    <w:rsid w:val="00A42FF1"/>
    <w:rsid w:val="00A43308"/>
    <w:rsid w:val="00A43628"/>
    <w:rsid w:val="00A438CB"/>
    <w:rsid w:val="00A47B31"/>
    <w:rsid w:val="00A51663"/>
    <w:rsid w:val="00A51CEB"/>
    <w:rsid w:val="00A54192"/>
    <w:rsid w:val="00A54AF0"/>
    <w:rsid w:val="00A57C98"/>
    <w:rsid w:val="00A6035E"/>
    <w:rsid w:val="00A608FB"/>
    <w:rsid w:val="00A6144C"/>
    <w:rsid w:val="00A65195"/>
    <w:rsid w:val="00A65317"/>
    <w:rsid w:val="00A66252"/>
    <w:rsid w:val="00A66617"/>
    <w:rsid w:val="00A671F8"/>
    <w:rsid w:val="00A673A4"/>
    <w:rsid w:val="00A67531"/>
    <w:rsid w:val="00A67BF5"/>
    <w:rsid w:val="00A71619"/>
    <w:rsid w:val="00A71CDC"/>
    <w:rsid w:val="00A724AE"/>
    <w:rsid w:val="00A73329"/>
    <w:rsid w:val="00A74306"/>
    <w:rsid w:val="00A74870"/>
    <w:rsid w:val="00A74BC1"/>
    <w:rsid w:val="00A7773B"/>
    <w:rsid w:val="00A82359"/>
    <w:rsid w:val="00A84DED"/>
    <w:rsid w:val="00A865D2"/>
    <w:rsid w:val="00A90DE8"/>
    <w:rsid w:val="00A9165D"/>
    <w:rsid w:val="00A93C0D"/>
    <w:rsid w:val="00A94105"/>
    <w:rsid w:val="00A94C20"/>
    <w:rsid w:val="00A9662D"/>
    <w:rsid w:val="00AA1D28"/>
    <w:rsid w:val="00AA227F"/>
    <w:rsid w:val="00AA3029"/>
    <w:rsid w:val="00AA313C"/>
    <w:rsid w:val="00AA3BC7"/>
    <w:rsid w:val="00AA41CD"/>
    <w:rsid w:val="00AA6711"/>
    <w:rsid w:val="00AA754A"/>
    <w:rsid w:val="00AB099E"/>
    <w:rsid w:val="00AB24B5"/>
    <w:rsid w:val="00AB36E9"/>
    <w:rsid w:val="00AB3875"/>
    <w:rsid w:val="00AB4328"/>
    <w:rsid w:val="00AC0824"/>
    <w:rsid w:val="00AC16B3"/>
    <w:rsid w:val="00AC29C6"/>
    <w:rsid w:val="00AC4EBF"/>
    <w:rsid w:val="00AC68AE"/>
    <w:rsid w:val="00AC78E4"/>
    <w:rsid w:val="00AD0454"/>
    <w:rsid w:val="00AD3839"/>
    <w:rsid w:val="00AD412E"/>
    <w:rsid w:val="00AD7805"/>
    <w:rsid w:val="00AE0A2E"/>
    <w:rsid w:val="00AE2BA8"/>
    <w:rsid w:val="00AE354C"/>
    <w:rsid w:val="00AE3B6A"/>
    <w:rsid w:val="00AE45E5"/>
    <w:rsid w:val="00AE476E"/>
    <w:rsid w:val="00AE47A9"/>
    <w:rsid w:val="00AE4F42"/>
    <w:rsid w:val="00AF1C24"/>
    <w:rsid w:val="00AF279C"/>
    <w:rsid w:val="00AF4B07"/>
    <w:rsid w:val="00AF5CC8"/>
    <w:rsid w:val="00AF6186"/>
    <w:rsid w:val="00AF6B5B"/>
    <w:rsid w:val="00AF6E9E"/>
    <w:rsid w:val="00AF7A3A"/>
    <w:rsid w:val="00B00DF8"/>
    <w:rsid w:val="00B010D1"/>
    <w:rsid w:val="00B01A69"/>
    <w:rsid w:val="00B02351"/>
    <w:rsid w:val="00B03373"/>
    <w:rsid w:val="00B03C2E"/>
    <w:rsid w:val="00B0458C"/>
    <w:rsid w:val="00B160DB"/>
    <w:rsid w:val="00B170CA"/>
    <w:rsid w:val="00B20836"/>
    <w:rsid w:val="00B22A69"/>
    <w:rsid w:val="00B235BB"/>
    <w:rsid w:val="00B247EA"/>
    <w:rsid w:val="00B248F7"/>
    <w:rsid w:val="00B27A44"/>
    <w:rsid w:val="00B30BBF"/>
    <w:rsid w:val="00B32D6C"/>
    <w:rsid w:val="00B32F7A"/>
    <w:rsid w:val="00B3343F"/>
    <w:rsid w:val="00B33C03"/>
    <w:rsid w:val="00B34594"/>
    <w:rsid w:val="00B36199"/>
    <w:rsid w:val="00B36D7F"/>
    <w:rsid w:val="00B37859"/>
    <w:rsid w:val="00B4033C"/>
    <w:rsid w:val="00B41340"/>
    <w:rsid w:val="00B42613"/>
    <w:rsid w:val="00B430D0"/>
    <w:rsid w:val="00B43C6D"/>
    <w:rsid w:val="00B44E56"/>
    <w:rsid w:val="00B452B5"/>
    <w:rsid w:val="00B46543"/>
    <w:rsid w:val="00B47D33"/>
    <w:rsid w:val="00B47DAE"/>
    <w:rsid w:val="00B518C0"/>
    <w:rsid w:val="00B51D71"/>
    <w:rsid w:val="00B52BE0"/>
    <w:rsid w:val="00B54133"/>
    <w:rsid w:val="00B547BB"/>
    <w:rsid w:val="00B5485E"/>
    <w:rsid w:val="00B54EC4"/>
    <w:rsid w:val="00B5588F"/>
    <w:rsid w:val="00B57650"/>
    <w:rsid w:val="00B6023D"/>
    <w:rsid w:val="00B60615"/>
    <w:rsid w:val="00B64F37"/>
    <w:rsid w:val="00B66F97"/>
    <w:rsid w:val="00B701ED"/>
    <w:rsid w:val="00B70912"/>
    <w:rsid w:val="00B7098A"/>
    <w:rsid w:val="00B75EC1"/>
    <w:rsid w:val="00B76125"/>
    <w:rsid w:val="00B8086C"/>
    <w:rsid w:val="00B8403A"/>
    <w:rsid w:val="00B861B4"/>
    <w:rsid w:val="00B86DFE"/>
    <w:rsid w:val="00B87C63"/>
    <w:rsid w:val="00B87CF6"/>
    <w:rsid w:val="00B90990"/>
    <w:rsid w:val="00B922FF"/>
    <w:rsid w:val="00B9281E"/>
    <w:rsid w:val="00B93925"/>
    <w:rsid w:val="00B93ECF"/>
    <w:rsid w:val="00B942BF"/>
    <w:rsid w:val="00B94324"/>
    <w:rsid w:val="00B95187"/>
    <w:rsid w:val="00B954A8"/>
    <w:rsid w:val="00B96207"/>
    <w:rsid w:val="00B96821"/>
    <w:rsid w:val="00B97583"/>
    <w:rsid w:val="00B9776F"/>
    <w:rsid w:val="00B97D97"/>
    <w:rsid w:val="00BA2D55"/>
    <w:rsid w:val="00BA699D"/>
    <w:rsid w:val="00BA6A39"/>
    <w:rsid w:val="00BA71B1"/>
    <w:rsid w:val="00BA7AAF"/>
    <w:rsid w:val="00BB0637"/>
    <w:rsid w:val="00BB345F"/>
    <w:rsid w:val="00BB3D11"/>
    <w:rsid w:val="00BB65BA"/>
    <w:rsid w:val="00BB68EA"/>
    <w:rsid w:val="00BC0444"/>
    <w:rsid w:val="00BC0ED3"/>
    <w:rsid w:val="00BC1C27"/>
    <w:rsid w:val="00BC377B"/>
    <w:rsid w:val="00BC4A8F"/>
    <w:rsid w:val="00BC6338"/>
    <w:rsid w:val="00BC6BBF"/>
    <w:rsid w:val="00BC788C"/>
    <w:rsid w:val="00BD1572"/>
    <w:rsid w:val="00BD54B6"/>
    <w:rsid w:val="00BD6D84"/>
    <w:rsid w:val="00BD6ED3"/>
    <w:rsid w:val="00BD787E"/>
    <w:rsid w:val="00BE14E3"/>
    <w:rsid w:val="00BE3774"/>
    <w:rsid w:val="00BE41E5"/>
    <w:rsid w:val="00BE5490"/>
    <w:rsid w:val="00BE7E51"/>
    <w:rsid w:val="00BF05C2"/>
    <w:rsid w:val="00BF3F3D"/>
    <w:rsid w:val="00BF4109"/>
    <w:rsid w:val="00BF4CC3"/>
    <w:rsid w:val="00BF645E"/>
    <w:rsid w:val="00C00E5F"/>
    <w:rsid w:val="00C01107"/>
    <w:rsid w:val="00C0265C"/>
    <w:rsid w:val="00C054C7"/>
    <w:rsid w:val="00C057B5"/>
    <w:rsid w:val="00C05A4A"/>
    <w:rsid w:val="00C06720"/>
    <w:rsid w:val="00C06E15"/>
    <w:rsid w:val="00C07F05"/>
    <w:rsid w:val="00C117CE"/>
    <w:rsid w:val="00C1262B"/>
    <w:rsid w:val="00C130CF"/>
    <w:rsid w:val="00C13DF9"/>
    <w:rsid w:val="00C1567B"/>
    <w:rsid w:val="00C22687"/>
    <w:rsid w:val="00C22A95"/>
    <w:rsid w:val="00C312E7"/>
    <w:rsid w:val="00C32E4D"/>
    <w:rsid w:val="00C333A0"/>
    <w:rsid w:val="00C336EE"/>
    <w:rsid w:val="00C33E7A"/>
    <w:rsid w:val="00C33EF5"/>
    <w:rsid w:val="00C36408"/>
    <w:rsid w:val="00C36A81"/>
    <w:rsid w:val="00C36A9E"/>
    <w:rsid w:val="00C37FB8"/>
    <w:rsid w:val="00C406AF"/>
    <w:rsid w:val="00C41974"/>
    <w:rsid w:val="00C4778D"/>
    <w:rsid w:val="00C478E8"/>
    <w:rsid w:val="00C50DF0"/>
    <w:rsid w:val="00C50F49"/>
    <w:rsid w:val="00C534F0"/>
    <w:rsid w:val="00C53558"/>
    <w:rsid w:val="00C538E5"/>
    <w:rsid w:val="00C53F4A"/>
    <w:rsid w:val="00C54125"/>
    <w:rsid w:val="00C55A6E"/>
    <w:rsid w:val="00C55B54"/>
    <w:rsid w:val="00C5683C"/>
    <w:rsid w:val="00C579B0"/>
    <w:rsid w:val="00C57DA2"/>
    <w:rsid w:val="00C57ED0"/>
    <w:rsid w:val="00C6098E"/>
    <w:rsid w:val="00C60A0C"/>
    <w:rsid w:val="00C611D8"/>
    <w:rsid w:val="00C6152C"/>
    <w:rsid w:val="00C618AC"/>
    <w:rsid w:val="00C622F0"/>
    <w:rsid w:val="00C63990"/>
    <w:rsid w:val="00C63AA5"/>
    <w:rsid w:val="00C64627"/>
    <w:rsid w:val="00C64EF6"/>
    <w:rsid w:val="00C65050"/>
    <w:rsid w:val="00C661CE"/>
    <w:rsid w:val="00C66A0C"/>
    <w:rsid w:val="00C7015B"/>
    <w:rsid w:val="00C72479"/>
    <w:rsid w:val="00C72A13"/>
    <w:rsid w:val="00C72AD8"/>
    <w:rsid w:val="00C73AE3"/>
    <w:rsid w:val="00C74810"/>
    <w:rsid w:val="00C75EF4"/>
    <w:rsid w:val="00C80D3B"/>
    <w:rsid w:val="00C82235"/>
    <w:rsid w:val="00C83C75"/>
    <w:rsid w:val="00C83E21"/>
    <w:rsid w:val="00C847C3"/>
    <w:rsid w:val="00C8574B"/>
    <w:rsid w:val="00C90D68"/>
    <w:rsid w:val="00C91AEB"/>
    <w:rsid w:val="00C939FE"/>
    <w:rsid w:val="00C93FE5"/>
    <w:rsid w:val="00C95847"/>
    <w:rsid w:val="00C97F75"/>
    <w:rsid w:val="00CA2059"/>
    <w:rsid w:val="00CA3C61"/>
    <w:rsid w:val="00CA4BDA"/>
    <w:rsid w:val="00CB1241"/>
    <w:rsid w:val="00CB1F66"/>
    <w:rsid w:val="00CB20CF"/>
    <w:rsid w:val="00CB2951"/>
    <w:rsid w:val="00CB430B"/>
    <w:rsid w:val="00CB5EA2"/>
    <w:rsid w:val="00CC0EDE"/>
    <w:rsid w:val="00CC29A6"/>
    <w:rsid w:val="00CC3FE5"/>
    <w:rsid w:val="00CC71E6"/>
    <w:rsid w:val="00CC7350"/>
    <w:rsid w:val="00CC7944"/>
    <w:rsid w:val="00CC7DE1"/>
    <w:rsid w:val="00CD0EEC"/>
    <w:rsid w:val="00CD142D"/>
    <w:rsid w:val="00CD1527"/>
    <w:rsid w:val="00CD282B"/>
    <w:rsid w:val="00CD2EF5"/>
    <w:rsid w:val="00CD4C35"/>
    <w:rsid w:val="00CD5F2B"/>
    <w:rsid w:val="00CD7369"/>
    <w:rsid w:val="00CE00DA"/>
    <w:rsid w:val="00CE0B0E"/>
    <w:rsid w:val="00CE3704"/>
    <w:rsid w:val="00CE3831"/>
    <w:rsid w:val="00CE3B71"/>
    <w:rsid w:val="00CF02D6"/>
    <w:rsid w:val="00CF0E90"/>
    <w:rsid w:val="00CF4798"/>
    <w:rsid w:val="00CF68D9"/>
    <w:rsid w:val="00CF7302"/>
    <w:rsid w:val="00D00ABB"/>
    <w:rsid w:val="00D01B48"/>
    <w:rsid w:val="00D02EEC"/>
    <w:rsid w:val="00D03551"/>
    <w:rsid w:val="00D0499E"/>
    <w:rsid w:val="00D05433"/>
    <w:rsid w:val="00D06A63"/>
    <w:rsid w:val="00D0735E"/>
    <w:rsid w:val="00D07E0E"/>
    <w:rsid w:val="00D11478"/>
    <w:rsid w:val="00D13142"/>
    <w:rsid w:val="00D13DA4"/>
    <w:rsid w:val="00D14651"/>
    <w:rsid w:val="00D15A07"/>
    <w:rsid w:val="00D15ED0"/>
    <w:rsid w:val="00D16C82"/>
    <w:rsid w:val="00D17F00"/>
    <w:rsid w:val="00D212A3"/>
    <w:rsid w:val="00D21B3E"/>
    <w:rsid w:val="00D21FED"/>
    <w:rsid w:val="00D22657"/>
    <w:rsid w:val="00D24251"/>
    <w:rsid w:val="00D250D7"/>
    <w:rsid w:val="00D25470"/>
    <w:rsid w:val="00D26334"/>
    <w:rsid w:val="00D266C6"/>
    <w:rsid w:val="00D26A7D"/>
    <w:rsid w:val="00D343E2"/>
    <w:rsid w:val="00D35013"/>
    <w:rsid w:val="00D35633"/>
    <w:rsid w:val="00D35F1C"/>
    <w:rsid w:val="00D361A2"/>
    <w:rsid w:val="00D37279"/>
    <w:rsid w:val="00D37C1F"/>
    <w:rsid w:val="00D42636"/>
    <w:rsid w:val="00D42AFF"/>
    <w:rsid w:val="00D431FC"/>
    <w:rsid w:val="00D4368C"/>
    <w:rsid w:val="00D44ABC"/>
    <w:rsid w:val="00D44C2E"/>
    <w:rsid w:val="00D45414"/>
    <w:rsid w:val="00D46C0E"/>
    <w:rsid w:val="00D503EC"/>
    <w:rsid w:val="00D50AC7"/>
    <w:rsid w:val="00D5265D"/>
    <w:rsid w:val="00D566BD"/>
    <w:rsid w:val="00D576CF"/>
    <w:rsid w:val="00D57A4D"/>
    <w:rsid w:val="00D60AA7"/>
    <w:rsid w:val="00D629AB"/>
    <w:rsid w:val="00D63B79"/>
    <w:rsid w:val="00D63BAF"/>
    <w:rsid w:val="00D6435F"/>
    <w:rsid w:val="00D668AA"/>
    <w:rsid w:val="00D66FC3"/>
    <w:rsid w:val="00D70CB9"/>
    <w:rsid w:val="00D719D5"/>
    <w:rsid w:val="00D735AA"/>
    <w:rsid w:val="00D756A9"/>
    <w:rsid w:val="00D75E28"/>
    <w:rsid w:val="00D772C2"/>
    <w:rsid w:val="00D8008E"/>
    <w:rsid w:val="00D82BD1"/>
    <w:rsid w:val="00D82C45"/>
    <w:rsid w:val="00D83DC6"/>
    <w:rsid w:val="00D86163"/>
    <w:rsid w:val="00D87497"/>
    <w:rsid w:val="00D908A8"/>
    <w:rsid w:val="00D90F13"/>
    <w:rsid w:val="00D935AB"/>
    <w:rsid w:val="00D93679"/>
    <w:rsid w:val="00D977B6"/>
    <w:rsid w:val="00DA34E4"/>
    <w:rsid w:val="00DA4A31"/>
    <w:rsid w:val="00DA53AF"/>
    <w:rsid w:val="00DA53F8"/>
    <w:rsid w:val="00DA5504"/>
    <w:rsid w:val="00DA66AA"/>
    <w:rsid w:val="00DA7B04"/>
    <w:rsid w:val="00DB3570"/>
    <w:rsid w:val="00DB36C2"/>
    <w:rsid w:val="00DB3945"/>
    <w:rsid w:val="00DC169B"/>
    <w:rsid w:val="00DC2AB9"/>
    <w:rsid w:val="00DC312F"/>
    <w:rsid w:val="00DC4284"/>
    <w:rsid w:val="00DC63F0"/>
    <w:rsid w:val="00DD0B22"/>
    <w:rsid w:val="00DD367C"/>
    <w:rsid w:val="00DD4AAB"/>
    <w:rsid w:val="00DD5146"/>
    <w:rsid w:val="00DD690A"/>
    <w:rsid w:val="00DD6EE5"/>
    <w:rsid w:val="00DE04D3"/>
    <w:rsid w:val="00DE08AD"/>
    <w:rsid w:val="00DE386C"/>
    <w:rsid w:val="00DE4139"/>
    <w:rsid w:val="00DE49BA"/>
    <w:rsid w:val="00DE4D35"/>
    <w:rsid w:val="00DE5CE3"/>
    <w:rsid w:val="00DE6700"/>
    <w:rsid w:val="00DE712E"/>
    <w:rsid w:val="00DE7394"/>
    <w:rsid w:val="00DF0798"/>
    <w:rsid w:val="00DF098B"/>
    <w:rsid w:val="00DF11C4"/>
    <w:rsid w:val="00DF1A8E"/>
    <w:rsid w:val="00DF210C"/>
    <w:rsid w:val="00DF4B6A"/>
    <w:rsid w:val="00E00159"/>
    <w:rsid w:val="00E01971"/>
    <w:rsid w:val="00E01E65"/>
    <w:rsid w:val="00E02C09"/>
    <w:rsid w:val="00E02F20"/>
    <w:rsid w:val="00E02F4C"/>
    <w:rsid w:val="00E03D62"/>
    <w:rsid w:val="00E04D59"/>
    <w:rsid w:val="00E0546F"/>
    <w:rsid w:val="00E06477"/>
    <w:rsid w:val="00E06D5C"/>
    <w:rsid w:val="00E07DA1"/>
    <w:rsid w:val="00E10A47"/>
    <w:rsid w:val="00E10C63"/>
    <w:rsid w:val="00E123CB"/>
    <w:rsid w:val="00E123DB"/>
    <w:rsid w:val="00E13752"/>
    <w:rsid w:val="00E13F22"/>
    <w:rsid w:val="00E149AB"/>
    <w:rsid w:val="00E156E5"/>
    <w:rsid w:val="00E17F8A"/>
    <w:rsid w:val="00E20E13"/>
    <w:rsid w:val="00E21487"/>
    <w:rsid w:val="00E21DBC"/>
    <w:rsid w:val="00E226A1"/>
    <w:rsid w:val="00E22DCA"/>
    <w:rsid w:val="00E23253"/>
    <w:rsid w:val="00E23DB5"/>
    <w:rsid w:val="00E241E8"/>
    <w:rsid w:val="00E2591C"/>
    <w:rsid w:val="00E26108"/>
    <w:rsid w:val="00E26809"/>
    <w:rsid w:val="00E272E6"/>
    <w:rsid w:val="00E275D7"/>
    <w:rsid w:val="00E27DBE"/>
    <w:rsid w:val="00E31474"/>
    <w:rsid w:val="00E31533"/>
    <w:rsid w:val="00E32165"/>
    <w:rsid w:val="00E3225E"/>
    <w:rsid w:val="00E32AB1"/>
    <w:rsid w:val="00E32AEA"/>
    <w:rsid w:val="00E32C85"/>
    <w:rsid w:val="00E33D65"/>
    <w:rsid w:val="00E349B7"/>
    <w:rsid w:val="00E36C71"/>
    <w:rsid w:val="00E40404"/>
    <w:rsid w:val="00E40595"/>
    <w:rsid w:val="00E40AA5"/>
    <w:rsid w:val="00E43091"/>
    <w:rsid w:val="00E4420D"/>
    <w:rsid w:val="00E4529A"/>
    <w:rsid w:val="00E45634"/>
    <w:rsid w:val="00E459C6"/>
    <w:rsid w:val="00E47236"/>
    <w:rsid w:val="00E47589"/>
    <w:rsid w:val="00E50FFB"/>
    <w:rsid w:val="00E53178"/>
    <w:rsid w:val="00E5516A"/>
    <w:rsid w:val="00E56134"/>
    <w:rsid w:val="00E564DF"/>
    <w:rsid w:val="00E617E1"/>
    <w:rsid w:val="00E625AB"/>
    <w:rsid w:val="00E6268E"/>
    <w:rsid w:val="00E64915"/>
    <w:rsid w:val="00E64FA9"/>
    <w:rsid w:val="00E661D4"/>
    <w:rsid w:val="00E66923"/>
    <w:rsid w:val="00E673AF"/>
    <w:rsid w:val="00E70091"/>
    <w:rsid w:val="00E709A9"/>
    <w:rsid w:val="00E720F5"/>
    <w:rsid w:val="00E72136"/>
    <w:rsid w:val="00E7233F"/>
    <w:rsid w:val="00E7251A"/>
    <w:rsid w:val="00E72BF4"/>
    <w:rsid w:val="00E74D31"/>
    <w:rsid w:val="00E74F23"/>
    <w:rsid w:val="00E76D47"/>
    <w:rsid w:val="00E77CB3"/>
    <w:rsid w:val="00E805C6"/>
    <w:rsid w:val="00E83F28"/>
    <w:rsid w:val="00E849F7"/>
    <w:rsid w:val="00E90302"/>
    <w:rsid w:val="00E91AE7"/>
    <w:rsid w:val="00E94C52"/>
    <w:rsid w:val="00E96B95"/>
    <w:rsid w:val="00E97381"/>
    <w:rsid w:val="00E97396"/>
    <w:rsid w:val="00EA185E"/>
    <w:rsid w:val="00EA1EE2"/>
    <w:rsid w:val="00EA2354"/>
    <w:rsid w:val="00EA2869"/>
    <w:rsid w:val="00EA360E"/>
    <w:rsid w:val="00EA592A"/>
    <w:rsid w:val="00EA67F0"/>
    <w:rsid w:val="00EA7B8D"/>
    <w:rsid w:val="00EB021B"/>
    <w:rsid w:val="00EB02C7"/>
    <w:rsid w:val="00EB14E4"/>
    <w:rsid w:val="00EB21A8"/>
    <w:rsid w:val="00EB32A5"/>
    <w:rsid w:val="00EB34ED"/>
    <w:rsid w:val="00EB40CD"/>
    <w:rsid w:val="00EB59E9"/>
    <w:rsid w:val="00EB60EC"/>
    <w:rsid w:val="00EB7BE0"/>
    <w:rsid w:val="00EB7E63"/>
    <w:rsid w:val="00EC13A5"/>
    <w:rsid w:val="00EC1DBE"/>
    <w:rsid w:val="00EC315E"/>
    <w:rsid w:val="00EC589D"/>
    <w:rsid w:val="00EC74CA"/>
    <w:rsid w:val="00EC7A4F"/>
    <w:rsid w:val="00ED077C"/>
    <w:rsid w:val="00ED1190"/>
    <w:rsid w:val="00ED48D5"/>
    <w:rsid w:val="00ED567C"/>
    <w:rsid w:val="00ED6544"/>
    <w:rsid w:val="00ED6D21"/>
    <w:rsid w:val="00ED7F4E"/>
    <w:rsid w:val="00EE0277"/>
    <w:rsid w:val="00EE02F0"/>
    <w:rsid w:val="00EE05A3"/>
    <w:rsid w:val="00EE095D"/>
    <w:rsid w:val="00EE3E00"/>
    <w:rsid w:val="00EE4F04"/>
    <w:rsid w:val="00EE5DD2"/>
    <w:rsid w:val="00EE759B"/>
    <w:rsid w:val="00EF20B3"/>
    <w:rsid w:val="00EF63C2"/>
    <w:rsid w:val="00EF6E1B"/>
    <w:rsid w:val="00EF7452"/>
    <w:rsid w:val="00EF7B2B"/>
    <w:rsid w:val="00F009BB"/>
    <w:rsid w:val="00F00A79"/>
    <w:rsid w:val="00F00E86"/>
    <w:rsid w:val="00F0230D"/>
    <w:rsid w:val="00F038A7"/>
    <w:rsid w:val="00F05F64"/>
    <w:rsid w:val="00F071E6"/>
    <w:rsid w:val="00F07C1E"/>
    <w:rsid w:val="00F105DB"/>
    <w:rsid w:val="00F12590"/>
    <w:rsid w:val="00F12DC6"/>
    <w:rsid w:val="00F12ED3"/>
    <w:rsid w:val="00F13136"/>
    <w:rsid w:val="00F132BC"/>
    <w:rsid w:val="00F13556"/>
    <w:rsid w:val="00F13D80"/>
    <w:rsid w:val="00F14DF0"/>
    <w:rsid w:val="00F16AAA"/>
    <w:rsid w:val="00F21161"/>
    <w:rsid w:val="00F218EF"/>
    <w:rsid w:val="00F21BC7"/>
    <w:rsid w:val="00F226DC"/>
    <w:rsid w:val="00F22D0B"/>
    <w:rsid w:val="00F24C7B"/>
    <w:rsid w:val="00F251CA"/>
    <w:rsid w:val="00F266A2"/>
    <w:rsid w:val="00F31714"/>
    <w:rsid w:val="00F32269"/>
    <w:rsid w:val="00F35CCE"/>
    <w:rsid w:val="00F421FC"/>
    <w:rsid w:val="00F5287F"/>
    <w:rsid w:val="00F54AD5"/>
    <w:rsid w:val="00F56A6F"/>
    <w:rsid w:val="00F56B88"/>
    <w:rsid w:val="00F5709C"/>
    <w:rsid w:val="00F64E46"/>
    <w:rsid w:val="00F64EF1"/>
    <w:rsid w:val="00F651DF"/>
    <w:rsid w:val="00F67322"/>
    <w:rsid w:val="00F7184B"/>
    <w:rsid w:val="00F75076"/>
    <w:rsid w:val="00F76A4A"/>
    <w:rsid w:val="00F830E6"/>
    <w:rsid w:val="00F839F7"/>
    <w:rsid w:val="00F85FBB"/>
    <w:rsid w:val="00F8765F"/>
    <w:rsid w:val="00F90767"/>
    <w:rsid w:val="00F91AEA"/>
    <w:rsid w:val="00F91DF1"/>
    <w:rsid w:val="00F935B5"/>
    <w:rsid w:val="00F95658"/>
    <w:rsid w:val="00F95B3C"/>
    <w:rsid w:val="00F96477"/>
    <w:rsid w:val="00FA0021"/>
    <w:rsid w:val="00FA1936"/>
    <w:rsid w:val="00FA4E0D"/>
    <w:rsid w:val="00FA53F0"/>
    <w:rsid w:val="00FA6038"/>
    <w:rsid w:val="00FA685B"/>
    <w:rsid w:val="00FA712E"/>
    <w:rsid w:val="00FB0877"/>
    <w:rsid w:val="00FB0C01"/>
    <w:rsid w:val="00FB2B45"/>
    <w:rsid w:val="00FB58B3"/>
    <w:rsid w:val="00FB7423"/>
    <w:rsid w:val="00FC051D"/>
    <w:rsid w:val="00FC08FE"/>
    <w:rsid w:val="00FC18F2"/>
    <w:rsid w:val="00FC2031"/>
    <w:rsid w:val="00FC39E5"/>
    <w:rsid w:val="00FC3A78"/>
    <w:rsid w:val="00FC7568"/>
    <w:rsid w:val="00FD046F"/>
    <w:rsid w:val="00FD0CAF"/>
    <w:rsid w:val="00FD1005"/>
    <w:rsid w:val="00FD280D"/>
    <w:rsid w:val="00FD58AA"/>
    <w:rsid w:val="00FD597A"/>
    <w:rsid w:val="00FD6C75"/>
    <w:rsid w:val="00FD7774"/>
    <w:rsid w:val="00FE1CD6"/>
    <w:rsid w:val="00FE2CA1"/>
    <w:rsid w:val="00FE3416"/>
    <w:rsid w:val="00FE363D"/>
    <w:rsid w:val="00FE3F9F"/>
    <w:rsid w:val="00FE6E24"/>
    <w:rsid w:val="00FE71B3"/>
    <w:rsid w:val="00FF01A8"/>
    <w:rsid w:val="00FF2102"/>
    <w:rsid w:val="00FF245F"/>
    <w:rsid w:val="00FF42C5"/>
    <w:rsid w:val="00FF5034"/>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annotation reference" w:uiPriority="0"/>
    <w:lsdException w:name="endnote tex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A66252"/>
    <w:pPr>
      <w:jc w:val="both"/>
    </w:pPr>
    <w:rPr>
      <w:rFonts w:eastAsiaTheme="minorEastAsia"/>
      <w:sz w:val="24"/>
    </w:rPr>
  </w:style>
  <w:style w:type="paragraph" w:styleId="Titre1">
    <w:name w:val="heading 1"/>
    <w:basedOn w:val="Normal"/>
    <w:next w:val="Normal"/>
    <w:link w:val="Titre1Car"/>
    <w:uiPriority w:val="99"/>
    <w:semiHidden/>
    <w:rsid w:val="00A66252"/>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A66252"/>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A66252"/>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A66252"/>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A66252"/>
    <w:pPr>
      <w:spacing w:before="200"/>
      <w:outlineLvl w:val="4"/>
    </w:pPr>
    <w:rPr>
      <w:rFonts w:asciiTheme="majorHAnsi" w:eastAsiaTheme="majorEastAsia" w:hAnsiTheme="majorHAnsi" w:cstheme="majorBidi"/>
      <w:b/>
      <w:bCs/>
      <w:color w:val="808080"/>
      <w:sz w:val="22"/>
    </w:rPr>
  </w:style>
  <w:style w:type="paragraph" w:styleId="Titre6">
    <w:name w:val="heading 6"/>
    <w:basedOn w:val="Normal"/>
    <w:next w:val="Normal"/>
    <w:link w:val="Titre6Car"/>
    <w:uiPriority w:val="99"/>
    <w:semiHidden/>
    <w:rsid w:val="00A662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A66252"/>
    <w:pPr>
      <w:outlineLvl w:val="6"/>
    </w:pPr>
    <w:rPr>
      <w:rFonts w:asciiTheme="majorHAnsi" w:eastAsiaTheme="majorEastAsia" w:hAnsiTheme="majorHAnsi" w:cstheme="majorBidi"/>
      <w:i/>
      <w:iCs/>
      <w:sz w:val="22"/>
      <w:lang w:bidi="en-US"/>
    </w:rPr>
  </w:style>
  <w:style w:type="paragraph" w:styleId="Titre8">
    <w:name w:val="heading 8"/>
    <w:basedOn w:val="Normal"/>
    <w:next w:val="Normal"/>
    <w:link w:val="Titre8Car"/>
    <w:uiPriority w:val="99"/>
    <w:semiHidden/>
    <w:qFormat/>
    <w:rsid w:val="00A66252"/>
    <w:pPr>
      <w:outlineLvl w:val="7"/>
    </w:pPr>
    <w:rPr>
      <w:rFonts w:asciiTheme="majorHAnsi" w:eastAsiaTheme="majorEastAsia" w:hAnsiTheme="majorHAnsi" w:cstheme="majorBidi"/>
      <w:sz w:val="20"/>
      <w:szCs w:val="20"/>
      <w:lang w:bidi="en-US"/>
    </w:rPr>
  </w:style>
  <w:style w:type="paragraph" w:styleId="Titre9">
    <w:name w:val="heading 9"/>
    <w:basedOn w:val="Normal"/>
    <w:next w:val="Normal"/>
    <w:link w:val="Titre9Car"/>
    <w:uiPriority w:val="99"/>
    <w:semiHidden/>
    <w:qFormat/>
    <w:rsid w:val="00A66252"/>
    <w:pPr>
      <w:outlineLvl w:val="8"/>
    </w:pPr>
    <w:rPr>
      <w:rFonts w:asciiTheme="majorHAnsi" w:eastAsiaTheme="majorEastAsia" w:hAnsiTheme="majorHAnsi" w:cstheme="majorBidi"/>
      <w:i/>
      <w:iCs/>
      <w:spacing w:val="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66252"/>
    <w:rPr>
      <w:rFonts w:ascii="Tahoma" w:hAnsi="Tahoma" w:cs="Tahoma"/>
      <w:sz w:val="16"/>
      <w:szCs w:val="16"/>
    </w:rPr>
  </w:style>
  <w:style w:type="character" w:customStyle="1" w:styleId="TextedebullesCar">
    <w:name w:val="Texte de bulles Car"/>
    <w:basedOn w:val="Policepardfaut"/>
    <w:link w:val="Textedebulles"/>
    <w:uiPriority w:val="99"/>
    <w:semiHidden/>
    <w:rsid w:val="00A66252"/>
    <w:rPr>
      <w:rFonts w:ascii="Tahoma" w:eastAsiaTheme="minorEastAsia" w:hAnsi="Tahoma" w:cs="Tahoma"/>
      <w:sz w:val="16"/>
      <w:szCs w:val="16"/>
    </w:rPr>
  </w:style>
  <w:style w:type="character" w:styleId="Titredulivre">
    <w:name w:val="Book Title"/>
    <w:uiPriority w:val="99"/>
    <w:semiHidden/>
    <w:qFormat/>
    <w:rsid w:val="00A66252"/>
    <w:rPr>
      <w:i/>
      <w:iCs/>
      <w:smallCaps/>
      <w:spacing w:val="5"/>
    </w:rPr>
  </w:style>
  <w:style w:type="paragraph" w:customStyle="1" w:styleId="ECHRHeader">
    <w:name w:val="ECHR_Header"/>
    <w:aliases w:val="Ju_Header"/>
    <w:basedOn w:val="En-tte"/>
    <w:uiPriority w:val="4"/>
    <w:qFormat/>
    <w:rsid w:val="00A66252"/>
    <w:pPr>
      <w:tabs>
        <w:tab w:val="clear" w:pos="4536"/>
        <w:tab w:val="clear" w:pos="9072"/>
        <w:tab w:val="center" w:pos="3686"/>
        <w:tab w:val="right" w:pos="7371"/>
      </w:tabs>
      <w:jc w:val="left"/>
    </w:pPr>
    <w:rPr>
      <w:sz w:val="18"/>
    </w:rPr>
  </w:style>
  <w:style w:type="paragraph" w:customStyle="1" w:styleId="ECHRFooter">
    <w:name w:val="ECHR_Footer"/>
    <w:aliases w:val="Footer_ECHR"/>
    <w:basedOn w:val="Pieddepage"/>
    <w:uiPriority w:val="57"/>
    <w:semiHidden/>
    <w:rsid w:val="00A66252"/>
    <w:pPr>
      <w:jc w:val="left"/>
    </w:pPr>
    <w:rPr>
      <w:sz w:val="8"/>
    </w:rPr>
  </w:style>
  <w:style w:type="character" w:styleId="lev">
    <w:name w:val="Strong"/>
    <w:uiPriority w:val="99"/>
    <w:semiHidden/>
    <w:qFormat/>
    <w:rsid w:val="00A66252"/>
    <w:rPr>
      <w:b/>
      <w:bCs/>
    </w:rPr>
  </w:style>
  <w:style w:type="paragraph" w:styleId="Sansinterligne">
    <w:name w:val="No Spacing"/>
    <w:basedOn w:val="Normal"/>
    <w:link w:val="SansinterligneCar"/>
    <w:semiHidden/>
    <w:qFormat/>
    <w:rsid w:val="00A66252"/>
    <w:rPr>
      <w:sz w:val="22"/>
    </w:rPr>
  </w:style>
  <w:style w:type="character" w:customStyle="1" w:styleId="SansinterligneCar">
    <w:name w:val="Sans interligne Car"/>
    <w:basedOn w:val="Policepardfaut"/>
    <w:link w:val="Sansinterligne"/>
    <w:semiHidden/>
    <w:rsid w:val="00A66252"/>
    <w:rPr>
      <w:rFonts w:eastAsiaTheme="minorEastAsia"/>
    </w:rPr>
  </w:style>
  <w:style w:type="paragraph" w:customStyle="1" w:styleId="ECHRFooterLine">
    <w:name w:val="ECHR_Footer_Line"/>
    <w:aliases w:val="Footer_Line"/>
    <w:basedOn w:val="Normal"/>
    <w:next w:val="ECHRFooter"/>
    <w:uiPriority w:val="57"/>
    <w:semiHidden/>
    <w:rsid w:val="00A66252"/>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66252"/>
  </w:style>
  <w:style w:type="paragraph" w:customStyle="1" w:styleId="OpiPara">
    <w:name w:val="Opi_Para"/>
    <w:basedOn w:val="ECHRPara"/>
    <w:uiPriority w:val="46"/>
    <w:qFormat/>
    <w:rsid w:val="00A66252"/>
  </w:style>
  <w:style w:type="paragraph" w:customStyle="1" w:styleId="JuParaSub">
    <w:name w:val="Ju_Para_Sub"/>
    <w:basedOn w:val="ECHRPara"/>
    <w:uiPriority w:val="13"/>
    <w:unhideWhenUsed/>
    <w:qFormat/>
    <w:rsid w:val="00A66252"/>
    <w:pPr>
      <w:ind w:left="284"/>
    </w:pPr>
  </w:style>
  <w:style w:type="paragraph" w:customStyle="1" w:styleId="ECHRTitleCentre3">
    <w:name w:val="ECHR_Title_Centre_3"/>
    <w:aliases w:val="Ju_H_Article"/>
    <w:basedOn w:val="Normal"/>
    <w:next w:val="ECHRParaQuote"/>
    <w:uiPriority w:val="27"/>
    <w:qFormat/>
    <w:rsid w:val="00A662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66252"/>
    <w:pPr>
      <w:keepNext/>
      <w:keepLines/>
      <w:spacing w:after="240"/>
      <w:jc w:val="center"/>
      <w:outlineLvl w:val="0"/>
    </w:pPr>
    <w:rPr>
      <w:rFonts w:asciiTheme="majorHAnsi" w:hAnsiTheme="majorHAnsi"/>
      <w:sz w:val="28"/>
    </w:rPr>
  </w:style>
  <w:style w:type="paragraph" w:customStyle="1" w:styleId="DecList">
    <w:name w:val="Dec_List"/>
    <w:basedOn w:val="Normal"/>
    <w:uiPriority w:val="9"/>
    <w:semiHidden/>
    <w:qFormat/>
    <w:rsid w:val="00A66252"/>
    <w:pPr>
      <w:spacing w:before="240"/>
      <w:ind w:left="284"/>
    </w:pPr>
  </w:style>
  <w:style w:type="paragraph" w:customStyle="1" w:styleId="DummyStyle">
    <w:name w:val="Dummy_Style"/>
    <w:basedOn w:val="Normal"/>
    <w:semiHidden/>
    <w:qFormat/>
    <w:rsid w:val="00A66252"/>
    <w:rPr>
      <w:color w:val="00B050"/>
    </w:rPr>
  </w:style>
  <w:style w:type="paragraph" w:customStyle="1" w:styleId="JuAppQuestion">
    <w:name w:val="Ju_App_Question"/>
    <w:basedOn w:val="Normal"/>
    <w:uiPriority w:val="5"/>
    <w:semiHidden/>
    <w:qFormat/>
    <w:rsid w:val="00A66252"/>
    <w:pPr>
      <w:numPr>
        <w:numId w:val="17"/>
      </w:numPr>
      <w:jc w:val="left"/>
    </w:pPr>
    <w:rPr>
      <w:b/>
    </w:rPr>
  </w:style>
  <w:style w:type="paragraph" w:customStyle="1" w:styleId="ECHRTitleCentre2">
    <w:name w:val="ECHR_Title_Centre_2"/>
    <w:aliases w:val="Dec_H_Case"/>
    <w:basedOn w:val="Normal"/>
    <w:next w:val="ECHRPara"/>
    <w:uiPriority w:val="8"/>
    <w:qFormat/>
    <w:rsid w:val="00A66252"/>
    <w:pPr>
      <w:spacing w:after="240"/>
      <w:jc w:val="center"/>
      <w:outlineLvl w:val="0"/>
    </w:pPr>
    <w:rPr>
      <w:rFonts w:asciiTheme="majorHAnsi" w:hAnsiTheme="majorHAnsi"/>
      <w:i/>
    </w:rPr>
  </w:style>
  <w:style w:type="paragraph" w:customStyle="1" w:styleId="JuHeaderLandscape">
    <w:name w:val="Ju_Header_Landscape"/>
    <w:basedOn w:val="ECHRHeader"/>
    <w:uiPriority w:val="4"/>
    <w:qFormat/>
    <w:rsid w:val="00A66252"/>
    <w:pPr>
      <w:tabs>
        <w:tab w:val="clear" w:pos="3686"/>
        <w:tab w:val="clear" w:pos="7371"/>
        <w:tab w:val="center" w:pos="6146"/>
        <w:tab w:val="right" w:pos="12293"/>
      </w:tabs>
    </w:pPr>
  </w:style>
  <w:style w:type="paragraph" w:styleId="Titre">
    <w:name w:val="Title"/>
    <w:basedOn w:val="Normal"/>
    <w:next w:val="Normal"/>
    <w:link w:val="TitreCar"/>
    <w:uiPriority w:val="99"/>
    <w:semiHidden/>
    <w:qFormat/>
    <w:rsid w:val="00A6625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reCar">
    <w:name w:val="Titre Car"/>
    <w:basedOn w:val="Policepardfaut"/>
    <w:link w:val="Titre"/>
    <w:uiPriority w:val="99"/>
    <w:semiHidden/>
    <w:rsid w:val="00A66252"/>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re3"/>
    <w:next w:val="ECHRPara"/>
    <w:uiPriority w:val="21"/>
    <w:qFormat/>
    <w:rsid w:val="00A6625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re4"/>
    <w:next w:val="ECHRPara"/>
    <w:uiPriority w:val="22"/>
    <w:qFormat/>
    <w:rsid w:val="00A662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re5"/>
    <w:next w:val="ECHRPara"/>
    <w:uiPriority w:val="23"/>
    <w:qFormat/>
    <w:rsid w:val="00A6625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re6"/>
    <w:next w:val="ECHRPara"/>
    <w:uiPriority w:val="24"/>
    <w:qFormat/>
    <w:rsid w:val="00A6625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re7"/>
    <w:next w:val="ECHRPara"/>
    <w:uiPriority w:val="25"/>
    <w:qFormat/>
    <w:rsid w:val="00A66252"/>
    <w:pPr>
      <w:keepNext/>
      <w:keepLines/>
      <w:spacing w:before="240" w:after="120"/>
      <w:ind w:left="1236"/>
    </w:pPr>
    <w:rPr>
      <w:sz w:val="20"/>
    </w:rPr>
  </w:style>
  <w:style w:type="paragraph" w:customStyle="1" w:styleId="JuQuotSub">
    <w:name w:val="Ju_Quot_Sub"/>
    <w:basedOn w:val="ECHRParaQuote"/>
    <w:uiPriority w:val="15"/>
    <w:qFormat/>
    <w:rsid w:val="00A66252"/>
    <w:pPr>
      <w:ind w:left="567"/>
    </w:pPr>
  </w:style>
  <w:style w:type="paragraph" w:customStyle="1" w:styleId="JuInitialled">
    <w:name w:val="Ju_Initialled"/>
    <w:basedOn w:val="Normal"/>
    <w:uiPriority w:val="31"/>
    <w:qFormat/>
    <w:rsid w:val="00A66252"/>
    <w:pPr>
      <w:tabs>
        <w:tab w:val="center" w:pos="6407"/>
      </w:tabs>
      <w:spacing w:before="720"/>
      <w:jc w:val="right"/>
    </w:pPr>
  </w:style>
  <w:style w:type="character" w:customStyle="1" w:styleId="JuITMark">
    <w:name w:val="Ju_ITMark"/>
    <w:basedOn w:val="Policepardfaut"/>
    <w:uiPriority w:val="38"/>
    <w:qFormat/>
    <w:rsid w:val="00A66252"/>
    <w:rPr>
      <w:vanish w:val="0"/>
      <w:color w:val="auto"/>
      <w:sz w:val="14"/>
    </w:rPr>
  </w:style>
  <w:style w:type="paragraph" w:styleId="En-tte">
    <w:name w:val="header"/>
    <w:basedOn w:val="Normal"/>
    <w:link w:val="En-tteCar"/>
    <w:uiPriority w:val="57"/>
    <w:semiHidden/>
    <w:rsid w:val="00A66252"/>
    <w:pPr>
      <w:tabs>
        <w:tab w:val="center" w:pos="4536"/>
        <w:tab w:val="right" w:pos="9072"/>
      </w:tabs>
    </w:pPr>
    <w:rPr>
      <w:rFonts w:eastAsiaTheme="minorHAnsi"/>
    </w:rPr>
  </w:style>
  <w:style w:type="character" w:customStyle="1" w:styleId="En-tteCar">
    <w:name w:val="En-tête Car"/>
    <w:basedOn w:val="Policepardfaut"/>
    <w:link w:val="En-tte"/>
    <w:uiPriority w:val="57"/>
    <w:semiHidden/>
    <w:rsid w:val="00A66252"/>
    <w:rPr>
      <w:sz w:val="24"/>
    </w:rPr>
  </w:style>
  <w:style w:type="character" w:customStyle="1" w:styleId="Titre1Car">
    <w:name w:val="Titre 1 Car"/>
    <w:basedOn w:val="Policepardfaut"/>
    <w:link w:val="Titre1"/>
    <w:uiPriority w:val="99"/>
    <w:semiHidden/>
    <w:rsid w:val="00A6625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re1"/>
    <w:next w:val="ECHRPara"/>
    <w:uiPriority w:val="19"/>
    <w:qFormat/>
    <w:rsid w:val="00A662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re2"/>
    <w:next w:val="ECHRPara"/>
    <w:uiPriority w:val="20"/>
    <w:qFormat/>
    <w:rsid w:val="00A66252"/>
    <w:pPr>
      <w:keepNext/>
      <w:keepLines/>
      <w:tabs>
        <w:tab w:val="left" w:pos="584"/>
      </w:tabs>
      <w:spacing w:before="360" w:after="240"/>
      <w:ind w:left="584" w:hanging="352"/>
    </w:pPr>
    <w:rPr>
      <w:color w:val="auto"/>
      <w:sz w:val="24"/>
    </w:rPr>
  </w:style>
  <w:style w:type="character" w:customStyle="1" w:styleId="Titre2Car">
    <w:name w:val="Titre 2 Car"/>
    <w:basedOn w:val="Policepardfaut"/>
    <w:link w:val="Titre2"/>
    <w:uiPriority w:val="99"/>
    <w:semiHidden/>
    <w:rsid w:val="00A66252"/>
    <w:rPr>
      <w:rFonts w:asciiTheme="majorHAnsi" w:eastAsiaTheme="majorEastAsia" w:hAnsiTheme="majorHAnsi" w:cstheme="majorBidi"/>
      <w:b/>
      <w:bCs/>
      <w:color w:val="4D4D4D"/>
      <w:sz w:val="26"/>
      <w:szCs w:val="26"/>
    </w:rPr>
  </w:style>
  <w:style w:type="character" w:customStyle="1" w:styleId="JUNAMES">
    <w:name w:val="JU_NAMES"/>
    <w:uiPriority w:val="17"/>
    <w:qFormat/>
    <w:rsid w:val="00A66252"/>
    <w:rPr>
      <w:caps w:val="0"/>
      <w:smallCaps/>
    </w:rPr>
  </w:style>
  <w:style w:type="paragraph" w:customStyle="1" w:styleId="ECHRDecisionBody">
    <w:name w:val="ECHR_Decision_Body"/>
    <w:aliases w:val="Ju_Judges"/>
    <w:basedOn w:val="Normal"/>
    <w:uiPriority w:val="11"/>
    <w:qFormat/>
    <w:rsid w:val="00A66252"/>
    <w:pPr>
      <w:tabs>
        <w:tab w:val="left" w:pos="567"/>
        <w:tab w:val="left" w:pos="1134"/>
      </w:tabs>
      <w:jc w:val="left"/>
    </w:pPr>
  </w:style>
  <w:style w:type="character" w:customStyle="1" w:styleId="Titre3Car">
    <w:name w:val="Titre 3 Car"/>
    <w:basedOn w:val="Policepardfaut"/>
    <w:link w:val="Titre3"/>
    <w:uiPriority w:val="99"/>
    <w:semiHidden/>
    <w:rsid w:val="00A66252"/>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A66252"/>
    <w:pPr>
      <w:ind w:firstLine="284"/>
    </w:pPr>
  </w:style>
  <w:style w:type="character" w:customStyle="1" w:styleId="Titre4Car">
    <w:name w:val="Titre 4 Car"/>
    <w:basedOn w:val="Policepardfaut"/>
    <w:link w:val="Titre4"/>
    <w:uiPriority w:val="99"/>
    <w:semiHidden/>
    <w:rsid w:val="00A66252"/>
    <w:rPr>
      <w:rFonts w:asciiTheme="majorHAnsi" w:eastAsiaTheme="majorEastAsia" w:hAnsiTheme="majorHAnsi" w:cstheme="majorBidi"/>
      <w:b/>
      <w:bCs/>
      <w:i/>
      <w:iCs/>
      <w:color w:val="777777"/>
      <w:sz w:val="24"/>
    </w:rPr>
  </w:style>
  <w:style w:type="character" w:customStyle="1" w:styleId="Titre5Car">
    <w:name w:val="Titre 5 Car"/>
    <w:basedOn w:val="Policepardfaut"/>
    <w:link w:val="Titre5"/>
    <w:uiPriority w:val="99"/>
    <w:semiHidden/>
    <w:rsid w:val="00A66252"/>
    <w:rPr>
      <w:rFonts w:asciiTheme="majorHAnsi" w:eastAsiaTheme="majorEastAsia" w:hAnsiTheme="majorHAnsi" w:cstheme="majorBidi"/>
      <w:b/>
      <w:bCs/>
      <w:color w:val="808080"/>
    </w:rPr>
  </w:style>
  <w:style w:type="character" w:styleId="Accentuationdiscrte">
    <w:name w:val="Subtle Emphasis"/>
    <w:uiPriority w:val="99"/>
    <w:semiHidden/>
    <w:qFormat/>
    <w:rsid w:val="00A66252"/>
    <w:rPr>
      <w:i/>
      <w:iCs/>
    </w:rPr>
  </w:style>
  <w:style w:type="table" w:customStyle="1" w:styleId="ECHRTable">
    <w:name w:val="ECHR_Table"/>
    <w:basedOn w:val="Tableau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au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66252"/>
    <w:pPr>
      <w:keepNext/>
      <w:keepLines/>
      <w:spacing w:before="720" w:after="240"/>
      <w:outlineLvl w:val="0"/>
    </w:pPr>
    <w:rPr>
      <w:rFonts w:asciiTheme="majorHAnsi" w:hAnsiTheme="majorHAnsi"/>
      <w:sz w:val="28"/>
    </w:rPr>
  </w:style>
  <w:style w:type="character" w:styleId="Accentuation">
    <w:name w:val="Emphasis"/>
    <w:uiPriority w:val="99"/>
    <w:semiHidden/>
    <w:qFormat/>
    <w:rsid w:val="00A66252"/>
    <w:rPr>
      <w:b/>
      <w:bCs/>
      <w:i/>
      <w:iCs/>
      <w:spacing w:val="10"/>
      <w:bdr w:val="none" w:sz="0" w:space="0" w:color="auto"/>
      <w:shd w:val="clear" w:color="auto" w:fill="auto"/>
    </w:rPr>
  </w:style>
  <w:style w:type="paragraph" w:styleId="Pieddepage">
    <w:name w:val="footer"/>
    <w:basedOn w:val="Normal"/>
    <w:link w:val="PieddepageCar"/>
    <w:uiPriority w:val="57"/>
    <w:semiHidden/>
    <w:rsid w:val="00A66252"/>
    <w:pPr>
      <w:tabs>
        <w:tab w:val="center" w:pos="4536"/>
        <w:tab w:val="right" w:pos="9696"/>
      </w:tabs>
      <w:ind w:left="-680" w:right="-680"/>
    </w:pPr>
    <w:rPr>
      <w:rFonts w:eastAsiaTheme="minorHAnsi"/>
    </w:rPr>
  </w:style>
  <w:style w:type="character" w:customStyle="1" w:styleId="PieddepageCar">
    <w:name w:val="Pied de page Car"/>
    <w:basedOn w:val="Policepardfaut"/>
    <w:link w:val="Pieddepage"/>
    <w:uiPriority w:val="57"/>
    <w:semiHidden/>
    <w:rsid w:val="00A66252"/>
    <w:rPr>
      <w:sz w:val="24"/>
    </w:rPr>
  </w:style>
  <w:style w:type="character" w:styleId="Marquenotebasdepage">
    <w:name w:val="footnote reference"/>
    <w:basedOn w:val="Policepardfaut"/>
    <w:uiPriority w:val="99"/>
    <w:semiHidden/>
    <w:rsid w:val="00A66252"/>
    <w:rPr>
      <w:vertAlign w:val="superscript"/>
    </w:rPr>
  </w:style>
  <w:style w:type="paragraph" w:styleId="Notedebasdepage">
    <w:name w:val="footnote text"/>
    <w:basedOn w:val="Normal"/>
    <w:link w:val="NotedebasdepageCar"/>
    <w:uiPriority w:val="99"/>
    <w:semiHidden/>
    <w:rsid w:val="00A66252"/>
    <w:rPr>
      <w:sz w:val="20"/>
      <w:szCs w:val="20"/>
    </w:rPr>
  </w:style>
  <w:style w:type="character" w:customStyle="1" w:styleId="NotedebasdepageCar">
    <w:name w:val="Note de bas de page Car"/>
    <w:basedOn w:val="Policepardfaut"/>
    <w:link w:val="Notedebasdepage"/>
    <w:uiPriority w:val="99"/>
    <w:semiHidden/>
    <w:rsid w:val="00A66252"/>
    <w:rPr>
      <w:rFonts w:eastAsiaTheme="minorEastAsia"/>
      <w:sz w:val="20"/>
      <w:szCs w:val="20"/>
    </w:rPr>
  </w:style>
  <w:style w:type="character" w:customStyle="1" w:styleId="Titre6Car">
    <w:name w:val="Titre 6 Car"/>
    <w:basedOn w:val="Policepardfaut"/>
    <w:link w:val="Titre6"/>
    <w:uiPriority w:val="99"/>
    <w:semiHidden/>
    <w:rsid w:val="00A66252"/>
    <w:rPr>
      <w:rFonts w:asciiTheme="majorHAnsi" w:eastAsiaTheme="majorEastAsia" w:hAnsiTheme="majorHAnsi" w:cstheme="majorBidi"/>
      <w:b/>
      <w:bCs/>
      <w:i/>
      <w:iCs/>
      <w:color w:val="7F7F7F" w:themeColor="text1" w:themeTint="80"/>
      <w:sz w:val="24"/>
      <w:lang w:bidi="en-US"/>
    </w:rPr>
  </w:style>
  <w:style w:type="character" w:customStyle="1" w:styleId="Titre7Car">
    <w:name w:val="Titre 7 Car"/>
    <w:basedOn w:val="Policepardfaut"/>
    <w:link w:val="Titre7"/>
    <w:uiPriority w:val="99"/>
    <w:semiHidden/>
    <w:rsid w:val="00A66252"/>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A66252"/>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A66252"/>
    <w:rPr>
      <w:rFonts w:asciiTheme="majorHAnsi" w:eastAsiaTheme="majorEastAsia" w:hAnsiTheme="majorHAnsi" w:cstheme="majorBidi"/>
      <w:i/>
      <w:iCs/>
      <w:spacing w:val="5"/>
      <w:sz w:val="20"/>
      <w:szCs w:val="20"/>
      <w:lang w:bidi="en-US"/>
    </w:rPr>
  </w:style>
  <w:style w:type="character" w:styleId="Lienhypertexte">
    <w:name w:val="Hyperlink"/>
    <w:basedOn w:val="Policepardfaut"/>
    <w:uiPriority w:val="99"/>
    <w:semiHidden/>
    <w:rsid w:val="00A66252"/>
    <w:rPr>
      <w:color w:val="0072BC" w:themeColor="hyperlink"/>
      <w:u w:val="single"/>
    </w:rPr>
  </w:style>
  <w:style w:type="character" w:styleId="Forteaccentuation">
    <w:name w:val="Intense Emphasis"/>
    <w:uiPriority w:val="99"/>
    <w:semiHidden/>
    <w:qFormat/>
    <w:rsid w:val="00A66252"/>
    <w:rPr>
      <w:b/>
      <w:bCs/>
    </w:rPr>
  </w:style>
  <w:style w:type="paragraph" w:styleId="Citationintense">
    <w:name w:val="Intense Quote"/>
    <w:basedOn w:val="Normal"/>
    <w:next w:val="Normal"/>
    <w:link w:val="CitationintenseCar"/>
    <w:uiPriority w:val="99"/>
    <w:semiHidden/>
    <w:qFormat/>
    <w:rsid w:val="00A66252"/>
    <w:pPr>
      <w:pBdr>
        <w:bottom w:val="single" w:sz="4" w:space="1" w:color="auto"/>
      </w:pBdr>
      <w:spacing w:before="200" w:after="280"/>
      <w:ind w:left="1008" w:right="1152"/>
    </w:pPr>
    <w:rPr>
      <w:b/>
      <w:bCs/>
      <w:i/>
      <w:iCs/>
      <w:sz w:val="22"/>
      <w:lang w:bidi="en-US"/>
    </w:rPr>
  </w:style>
  <w:style w:type="character" w:customStyle="1" w:styleId="CitationintenseCar">
    <w:name w:val="Citation intense Car"/>
    <w:basedOn w:val="Policepardfaut"/>
    <w:link w:val="Citationintense"/>
    <w:uiPriority w:val="99"/>
    <w:semiHidden/>
    <w:rsid w:val="00A66252"/>
    <w:rPr>
      <w:rFonts w:eastAsiaTheme="minorEastAsia"/>
      <w:b/>
      <w:bCs/>
      <w:i/>
      <w:iCs/>
      <w:lang w:bidi="en-US"/>
    </w:rPr>
  </w:style>
  <w:style w:type="character" w:styleId="Rfrenceintense">
    <w:name w:val="Intense Reference"/>
    <w:uiPriority w:val="99"/>
    <w:semiHidden/>
    <w:qFormat/>
    <w:rsid w:val="00A66252"/>
    <w:rPr>
      <w:smallCaps/>
      <w:spacing w:val="5"/>
      <w:u w:val="single"/>
    </w:rPr>
  </w:style>
  <w:style w:type="paragraph" w:styleId="Paragraphedeliste">
    <w:name w:val="List Paragraph"/>
    <w:basedOn w:val="Normal"/>
    <w:uiPriority w:val="99"/>
    <w:semiHidden/>
    <w:qFormat/>
    <w:rsid w:val="00A66252"/>
    <w:pPr>
      <w:ind w:left="720"/>
      <w:contextualSpacing/>
    </w:pPr>
  </w:style>
  <w:style w:type="table" w:customStyle="1" w:styleId="LtrTableAddress">
    <w:name w:val="Ltr_Table_Address"/>
    <w:basedOn w:val="TableauNormal"/>
    <w:uiPriority w:val="99"/>
    <w:rsid w:val="001E6F32"/>
    <w:tblPr>
      <w:tblInd w:w="5103" w:type="dxa"/>
      <w:tblCellMar>
        <w:top w:w="0" w:type="dxa"/>
        <w:left w:w="108" w:type="dxa"/>
        <w:bottom w:w="0" w:type="dxa"/>
        <w:right w:w="108" w:type="dxa"/>
      </w:tblCellMar>
    </w:tblPr>
  </w:style>
  <w:style w:type="paragraph" w:styleId="Citation">
    <w:name w:val="Quote"/>
    <w:basedOn w:val="Normal"/>
    <w:next w:val="Normal"/>
    <w:link w:val="CitationCar"/>
    <w:uiPriority w:val="99"/>
    <w:semiHidden/>
    <w:qFormat/>
    <w:rsid w:val="00A66252"/>
    <w:pPr>
      <w:spacing w:before="200"/>
      <w:ind w:left="360" w:right="360"/>
    </w:pPr>
    <w:rPr>
      <w:i/>
      <w:iCs/>
      <w:sz w:val="22"/>
      <w:lang w:bidi="en-US"/>
    </w:rPr>
  </w:style>
  <w:style w:type="character" w:customStyle="1" w:styleId="CitationCar">
    <w:name w:val="Citation Car"/>
    <w:basedOn w:val="Policepardfaut"/>
    <w:link w:val="Citation"/>
    <w:uiPriority w:val="99"/>
    <w:semiHidden/>
    <w:rsid w:val="00A66252"/>
    <w:rPr>
      <w:rFonts w:eastAsiaTheme="minorEastAsia"/>
      <w:i/>
      <w:iCs/>
      <w:lang w:bidi="en-US"/>
    </w:rPr>
  </w:style>
  <w:style w:type="character" w:styleId="Rfrenceple">
    <w:name w:val="Subtle Reference"/>
    <w:uiPriority w:val="99"/>
    <w:semiHidden/>
    <w:qFormat/>
    <w:rsid w:val="00A66252"/>
    <w:rPr>
      <w:smallCaps/>
    </w:rPr>
  </w:style>
  <w:style w:type="table" w:styleId="Grille">
    <w:name w:val="Table Grid"/>
    <w:basedOn w:val="TableauNormal"/>
    <w:uiPriority w:val="59"/>
    <w:semiHidden/>
    <w:rsid w:val="00A6625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99"/>
    <w:semiHidden/>
    <w:rsid w:val="00A66252"/>
    <w:pPr>
      <w:keepNext/>
      <w:tabs>
        <w:tab w:val="right" w:leader="dot" w:pos="7371"/>
      </w:tabs>
      <w:spacing w:before="160" w:after="60" w:line="240" w:lineRule="exact"/>
      <w:ind w:left="340" w:right="567" w:hanging="340"/>
    </w:pPr>
    <w:rPr>
      <w:b/>
      <w:sz w:val="22"/>
    </w:rPr>
  </w:style>
  <w:style w:type="paragraph" w:styleId="TM2">
    <w:name w:val="toc 2"/>
    <w:basedOn w:val="Normal"/>
    <w:next w:val="Normal"/>
    <w:autoRedefine/>
    <w:uiPriority w:val="99"/>
    <w:semiHidden/>
    <w:rsid w:val="00A66252"/>
    <w:pPr>
      <w:keepNext/>
      <w:tabs>
        <w:tab w:val="right" w:leader="dot" w:pos="7371"/>
      </w:tabs>
      <w:spacing w:after="60" w:line="240" w:lineRule="exact"/>
      <w:ind w:left="680" w:right="567" w:hanging="340"/>
    </w:pPr>
    <w:rPr>
      <w:sz w:val="22"/>
    </w:rPr>
  </w:style>
  <w:style w:type="paragraph" w:styleId="TM3">
    <w:name w:val="toc 3"/>
    <w:basedOn w:val="Normal"/>
    <w:next w:val="Normal"/>
    <w:autoRedefine/>
    <w:uiPriority w:val="99"/>
    <w:semiHidden/>
    <w:rsid w:val="00A66252"/>
    <w:pPr>
      <w:keepNext/>
      <w:tabs>
        <w:tab w:val="right" w:leader="dot" w:pos="7371"/>
      </w:tabs>
      <w:spacing w:after="60" w:line="240" w:lineRule="exact"/>
      <w:ind w:left="1020" w:right="567" w:hanging="340"/>
    </w:pPr>
    <w:rPr>
      <w:sz w:val="20"/>
    </w:rPr>
  </w:style>
  <w:style w:type="paragraph" w:styleId="TM4">
    <w:name w:val="toc 4"/>
    <w:basedOn w:val="Normal"/>
    <w:next w:val="Normal"/>
    <w:autoRedefine/>
    <w:uiPriority w:val="99"/>
    <w:semiHidden/>
    <w:rsid w:val="00A66252"/>
    <w:pPr>
      <w:tabs>
        <w:tab w:val="right" w:leader="dot" w:pos="7371"/>
      </w:tabs>
      <w:spacing w:after="60" w:line="240" w:lineRule="exact"/>
      <w:ind w:left="1361" w:right="567" w:hanging="340"/>
    </w:pPr>
    <w:rPr>
      <w:sz w:val="20"/>
    </w:rPr>
  </w:style>
  <w:style w:type="paragraph" w:styleId="TM5">
    <w:name w:val="toc 5"/>
    <w:basedOn w:val="Normal"/>
    <w:next w:val="Normal"/>
    <w:autoRedefine/>
    <w:uiPriority w:val="99"/>
    <w:semiHidden/>
    <w:rsid w:val="00A66252"/>
    <w:pPr>
      <w:tabs>
        <w:tab w:val="right" w:leader="dot" w:pos="7371"/>
      </w:tabs>
      <w:spacing w:after="60" w:line="240" w:lineRule="exact"/>
      <w:ind w:left="1701" w:right="567" w:hanging="340"/>
    </w:pPr>
    <w:rPr>
      <w:sz w:val="20"/>
    </w:rPr>
  </w:style>
  <w:style w:type="paragraph" w:styleId="En-ttedetabledesmatires">
    <w:name w:val="TOC Heading"/>
    <w:basedOn w:val="Normal"/>
    <w:next w:val="Normal"/>
    <w:uiPriority w:val="99"/>
    <w:semiHidden/>
    <w:qFormat/>
    <w:rsid w:val="00A6625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au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au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au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au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au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au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redetablederfrences">
    <w:name w:val="toa heading"/>
    <w:basedOn w:val="Normal"/>
    <w:next w:val="Normal"/>
    <w:uiPriority w:val="99"/>
    <w:semiHidden/>
    <w:rsid w:val="00A6625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link w:val="JuQuotChar"/>
    <w:uiPriority w:val="14"/>
    <w:qFormat/>
    <w:rsid w:val="00A66252"/>
    <w:pPr>
      <w:spacing w:before="120" w:after="120"/>
      <w:ind w:left="425" w:firstLine="142"/>
    </w:pPr>
    <w:rPr>
      <w:sz w:val="20"/>
    </w:rPr>
  </w:style>
  <w:style w:type="table" w:customStyle="1" w:styleId="ECHRTableSimpleBox">
    <w:name w:val="ECHR_Table_Simple_Box"/>
    <w:basedOn w:val="Tableau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au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au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auNormal"/>
    <w:uiPriority w:val="99"/>
    <w:rsid w:val="00A66252"/>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au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au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au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A66252"/>
    <w:pPr>
      <w:tabs>
        <w:tab w:val="center" w:pos="851"/>
        <w:tab w:val="center" w:pos="6407"/>
      </w:tabs>
      <w:spacing w:before="720"/>
      <w:jc w:val="left"/>
    </w:pPr>
  </w:style>
  <w:style w:type="paragraph" w:customStyle="1" w:styleId="JuParaLast">
    <w:name w:val="Ju_Para_Last"/>
    <w:basedOn w:val="Normal"/>
    <w:next w:val="ECHRPara"/>
    <w:uiPriority w:val="30"/>
    <w:qFormat/>
    <w:rsid w:val="00A66252"/>
    <w:pPr>
      <w:keepNext/>
      <w:keepLines/>
      <w:spacing w:before="240"/>
      <w:ind w:firstLine="284"/>
    </w:pPr>
  </w:style>
  <w:style w:type="paragraph" w:customStyle="1" w:styleId="JuCase">
    <w:name w:val="Ju_Case"/>
    <w:basedOn w:val="Normal"/>
    <w:next w:val="ECHRPara"/>
    <w:uiPriority w:val="10"/>
    <w:rsid w:val="00A66252"/>
    <w:pPr>
      <w:ind w:firstLine="284"/>
    </w:pPr>
    <w:rPr>
      <w:b/>
    </w:rPr>
  </w:style>
  <w:style w:type="paragraph" w:customStyle="1" w:styleId="JuList">
    <w:name w:val="Ju_List"/>
    <w:basedOn w:val="Normal"/>
    <w:uiPriority w:val="28"/>
    <w:qFormat/>
    <w:rsid w:val="00A66252"/>
    <w:pPr>
      <w:ind w:left="340" w:hanging="340"/>
    </w:pPr>
  </w:style>
  <w:style w:type="paragraph" w:customStyle="1" w:styleId="JuTitle">
    <w:name w:val="Ju_Title"/>
    <w:basedOn w:val="Normal"/>
    <w:next w:val="ECHRPara"/>
    <w:uiPriority w:val="3"/>
    <w:semiHidden/>
    <w:qFormat/>
    <w:rsid w:val="00A66252"/>
    <w:pPr>
      <w:spacing w:before="720" w:after="240"/>
      <w:jc w:val="center"/>
      <w:outlineLvl w:val="0"/>
    </w:pPr>
    <w:rPr>
      <w:rFonts w:asciiTheme="majorHAnsi" w:hAnsiTheme="majorHAnsi"/>
      <w:b/>
      <w:caps/>
    </w:rPr>
  </w:style>
  <w:style w:type="character" w:styleId="Numrodepage">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66252"/>
    <w:pPr>
      <w:ind w:left="346" w:firstLine="0"/>
    </w:pPr>
  </w:style>
  <w:style w:type="paragraph" w:customStyle="1" w:styleId="JuListi">
    <w:name w:val="Ju_List_i"/>
    <w:basedOn w:val="Normal"/>
    <w:next w:val="JuLista"/>
    <w:uiPriority w:val="28"/>
    <w:qFormat/>
    <w:rsid w:val="00A66252"/>
    <w:pPr>
      <w:ind w:left="794"/>
    </w:pPr>
  </w:style>
  <w:style w:type="character" w:styleId="Marquedannotation">
    <w:name w:val="annotation reference"/>
    <w:semiHidden/>
    <w:rsid w:val="00E77CB3"/>
    <w:rPr>
      <w:sz w:val="16"/>
    </w:rPr>
  </w:style>
  <w:style w:type="paragraph" w:styleId="Commentaire">
    <w:name w:val="annotation text"/>
    <w:basedOn w:val="Normal"/>
    <w:link w:val="CommentaireCar"/>
    <w:semiHidden/>
    <w:rsid w:val="00E77CB3"/>
    <w:rPr>
      <w:sz w:val="20"/>
    </w:rPr>
  </w:style>
  <w:style w:type="character" w:customStyle="1" w:styleId="CommentaireCar">
    <w:name w:val="Commentaire Car"/>
    <w:basedOn w:val="Policepardfaut"/>
    <w:link w:val="Commentaire"/>
    <w:semiHidden/>
    <w:rsid w:val="00E77CB3"/>
    <w:rPr>
      <w:rFonts w:eastAsiaTheme="minorEastAsia"/>
      <w:sz w:val="20"/>
    </w:rPr>
  </w:style>
  <w:style w:type="character" w:styleId="Marquedenotedefin">
    <w:name w:val="endnote reference"/>
    <w:uiPriority w:val="99"/>
    <w:semiHidden/>
    <w:rsid w:val="00E77CB3"/>
    <w:rPr>
      <w:rFonts w:ascii="Times New Roman" w:hAnsi="Times New Roman" w:cs="Times New Roman"/>
      <w:vertAlign w:val="superscript"/>
    </w:rPr>
  </w:style>
  <w:style w:type="paragraph" w:styleId="Notedefin">
    <w:name w:val="endnote text"/>
    <w:basedOn w:val="Normal"/>
    <w:link w:val="NotedefinCar"/>
    <w:semiHidden/>
    <w:rsid w:val="00E77CB3"/>
    <w:rPr>
      <w:sz w:val="20"/>
    </w:rPr>
  </w:style>
  <w:style w:type="character" w:customStyle="1" w:styleId="NotedefinCar">
    <w:name w:val="Note de fin Car"/>
    <w:basedOn w:val="Policepardfaut"/>
    <w:link w:val="Notedefin"/>
    <w:uiPriority w:val="99"/>
    <w:semiHidden/>
    <w:rsid w:val="00E77CB3"/>
    <w:rPr>
      <w:rFonts w:eastAsiaTheme="minorEastAsia"/>
      <w:sz w:val="20"/>
    </w:rPr>
  </w:style>
  <w:style w:type="character" w:styleId="Lienhypertextesuivi">
    <w:name w:val="FollowedHyperlink"/>
    <w:uiPriority w:val="99"/>
    <w:semiHidden/>
    <w:rsid w:val="00E77CB3"/>
    <w:rPr>
      <w:rFonts w:ascii="Times New Roman" w:hAnsi="Times New Roman" w:cs="Times New Roman"/>
      <w:color w:val="800080"/>
      <w:u w:val="single"/>
    </w:rPr>
  </w:style>
  <w:style w:type="paragraph" w:styleId="Listepuces">
    <w:name w:val="List Bullet"/>
    <w:basedOn w:val="Normal"/>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Objetducommentaire">
    <w:name w:val="annotation subject"/>
    <w:basedOn w:val="Commentaire"/>
    <w:next w:val="Commentaire"/>
    <w:link w:val="ObjetducommentaireCar"/>
    <w:uiPriority w:val="99"/>
    <w:semiHidden/>
    <w:rsid w:val="00E77CB3"/>
    <w:rPr>
      <w:b/>
      <w:bCs/>
    </w:rPr>
  </w:style>
  <w:style w:type="character" w:customStyle="1" w:styleId="ObjetducommentaireCar">
    <w:name w:val="Objet du commentaire Car"/>
    <w:basedOn w:val="CommentaireCar"/>
    <w:link w:val="Objetducommentaire"/>
    <w:uiPriority w:val="99"/>
    <w:semiHidden/>
    <w:rsid w:val="00E77CB3"/>
    <w:rPr>
      <w:rFonts w:eastAsiaTheme="minorEastAsia"/>
      <w:b/>
      <w:bCs/>
      <w:sz w:val="20"/>
    </w:rPr>
  </w:style>
  <w:style w:type="paragraph" w:styleId="Explorateurdedocument">
    <w:name w:val="Document Map"/>
    <w:basedOn w:val="Normal"/>
    <w:link w:val="ExplorateurdedocumentCar"/>
    <w:uiPriority w:val="99"/>
    <w:semiHidden/>
    <w:rsid w:val="00E77CB3"/>
    <w:pPr>
      <w:shd w:val="clear" w:color="auto" w:fill="000080"/>
    </w:pPr>
    <w:rPr>
      <w:rFonts w:ascii="Tahoma" w:hAnsi="Tahoma" w:cs="Tahoma"/>
      <w:sz w:val="20"/>
    </w:rPr>
  </w:style>
  <w:style w:type="character" w:customStyle="1" w:styleId="ExplorateurdedocumentCar">
    <w:name w:val="Explorateur de document Car"/>
    <w:basedOn w:val="Policepardfaut"/>
    <w:link w:val="Explorateurdedocument"/>
    <w:uiPriority w:val="99"/>
    <w:semiHidden/>
    <w:rsid w:val="00E77CB3"/>
    <w:rPr>
      <w:rFonts w:ascii="Tahoma" w:eastAsiaTheme="minorEastAsia" w:hAnsi="Tahoma" w:cs="Tahoma"/>
      <w:sz w:val="20"/>
      <w:shd w:val="clear" w:color="auto" w:fill="000080"/>
    </w:rPr>
  </w:style>
  <w:style w:type="paragraph" w:customStyle="1" w:styleId="OpiH1">
    <w:name w:val="Opi_H_1"/>
    <w:basedOn w:val="ECHRHeading2"/>
    <w:uiPriority w:val="42"/>
    <w:qFormat/>
    <w:rsid w:val="00A66252"/>
    <w:pPr>
      <w:ind w:left="635" w:hanging="357"/>
      <w:outlineLvl w:val="2"/>
    </w:pPr>
  </w:style>
  <w:style w:type="paragraph" w:styleId="Sous-titre">
    <w:name w:val="Subtitle"/>
    <w:basedOn w:val="Normal"/>
    <w:next w:val="Normal"/>
    <w:link w:val="Sous-titreCar"/>
    <w:uiPriority w:val="99"/>
    <w:semiHidden/>
    <w:qFormat/>
    <w:rsid w:val="00A66252"/>
    <w:pPr>
      <w:spacing w:after="600"/>
    </w:pPr>
    <w:rPr>
      <w:rFonts w:asciiTheme="majorHAnsi" w:eastAsiaTheme="majorEastAsia" w:hAnsiTheme="majorHAnsi" w:cstheme="majorBidi"/>
      <w:i/>
      <w:iCs/>
      <w:spacing w:val="13"/>
      <w:szCs w:val="24"/>
      <w:lang w:bidi="en-US"/>
    </w:rPr>
  </w:style>
  <w:style w:type="character" w:customStyle="1" w:styleId="Sous-titreCar">
    <w:name w:val="Sous-titre Car"/>
    <w:basedOn w:val="Policepardfaut"/>
    <w:link w:val="Sous-titre"/>
    <w:uiPriority w:val="99"/>
    <w:semiHidden/>
    <w:rsid w:val="00A66252"/>
    <w:rPr>
      <w:rFonts w:asciiTheme="majorHAnsi" w:eastAsiaTheme="majorEastAsia" w:hAnsiTheme="majorHAnsi" w:cstheme="majorBidi"/>
      <w:i/>
      <w:iCs/>
      <w:spacing w:val="13"/>
      <w:sz w:val="24"/>
      <w:szCs w:val="24"/>
      <w:lang w:bidi="en-US"/>
    </w:rPr>
  </w:style>
  <w:style w:type="numbering" w:styleId="111111">
    <w:name w:val="Outline List 2"/>
    <w:basedOn w:val="Aucuneliste"/>
    <w:uiPriority w:val="99"/>
    <w:semiHidden/>
    <w:rsid w:val="00E77CB3"/>
    <w:pPr>
      <w:numPr>
        <w:numId w:val="2"/>
      </w:numPr>
    </w:pPr>
  </w:style>
  <w:style w:type="numbering" w:styleId="1ai">
    <w:name w:val="Outline List 1"/>
    <w:basedOn w:val="Aucuneliste"/>
    <w:uiPriority w:val="99"/>
    <w:semiHidden/>
    <w:rsid w:val="00E77CB3"/>
    <w:pPr>
      <w:numPr>
        <w:numId w:val="3"/>
      </w:numPr>
    </w:pPr>
  </w:style>
  <w:style w:type="numbering" w:styleId="ArticleSection">
    <w:name w:val="Outline List 3"/>
    <w:basedOn w:val="Aucuneliste"/>
    <w:uiPriority w:val="99"/>
    <w:semiHidden/>
    <w:rsid w:val="00E77CB3"/>
    <w:pPr>
      <w:numPr>
        <w:numId w:val="4"/>
      </w:numPr>
    </w:pPr>
  </w:style>
  <w:style w:type="paragraph" w:styleId="Bibliographie">
    <w:name w:val="Bibliography"/>
    <w:basedOn w:val="Normal"/>
    <w:next w:val="Normal"/>
    <w:uiPriority w:val="99"/>
    <w:semiHidden/>
    <w:unhideWhenUsed/>
    <w:rsid w:val="00E77CB3"/>
  </w:style>
  <w:style w:type="paragraph" w:styleId="Normalcentr">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sdetexte">
    <w:name w:val="Body Text"/>
    <w:basedOn w:val="Normal"/>
    <w:link w:val="CorpsdetexteCar"/>
    <w:uiPriority w:val="99"/>
    <w:semiHidden/>
    <w:rsid w:val="00E77CB3"/>
    <w:pPr>
      <w:spacing w:after="120"/>
    </w:pPr>
  </w:style>
  <w:style w:type="character" w:customStyle="1" w:styleId="CorpsdetexteCar">
    <w:name w:val="Corps de texte Car"/>
    <w:basedOn w:val="Policepardfaut"/>
    <w:link w:val="Corpsdetexte"/>
    <w:uiPriority w:val="99"/>
    <w:semiHidden/>
    <w:rsid w:val="00E77CB3"/>
    <w:rPr>
      <w:rFonts w:eastAsiaTheme="minorEastAsia"/>
      <w:sz w:val="24"/>
    </w:rPr>
  </w:style>
  <w:style w:type="paragraph" w:styleId="Corpsdetexte2">
    <w:name w:val="Body Text 2"/>
    <w:basedOn w:val="Normal"/>
    <w:link w:val="Corpsdetexte2Car"/>
    <w:uiPriority w:val="99"/>
    <w:semiHidden/>
    <w:rsid w:val="00E77CB3"/>
    <w:pPr>
      <w:spacing w:after="120" w:line="480" w:lineRule="auto"/>
    </w:pPr>
  </w:style>
  <w:style w:type="character" w:customStyle="1" w:styleId="Corpsdetexte2Car">
    <w:name w:val="Corps de texte 2 Car"/>
    <w:basedOn w:val="Policepardfaut"/>
    <w:link w:val="Corpsdetexte2"/>
    <w:uiPriority w:val="99"/>
    <w:semiHidden/>
    <w:rsid w:val="00E77CB3"/>
    <w:rPr>
      <w:rFonts w:eastAsiaTheme="minorEastAsia"/>
      <w:sz w:val="24"/>
    </w:rPr>
  </w:style>
  <w:style w:type="paragraph" w:styleId="Corpsdetexte3">
    <w:name w:val="Body Text 3"/>
    <w:basedOn w:val="Normal"/>
    <w:link w:val="Corpsdetexte3Car"/>
    <w:uiPriority w:val="99"/>
    <w:semiHidden/>
    <w:rsid w:val="00E77CB3"/>
    <w:pPr>
      <w:spacing w:after="120"/>
    </w:pPr>
    <w:rPr>
      <w:sz w:val="16"/>
      <w:szCs w:val="16"/>
    </w:rPr>
  </w:style>
  <w:style w:type="character" w:customStyle="1" w:styleId="Corpsdetexte3Car">
    <w:name w:val="Corps de texte 3 Car"/>
    <w:basedOn w:val="Policepardfaut"/>
    <w:link w:val="Corpsdetexte3"/>
    <w:uiPriority w:val="99"/>
    <w:semiHidden/>
    <w:rsid w:val="00E77CB3"/>
    <w:rPr>
      <w:rFonts w:eastAsiaTheme="minorEastAsia"/>
      <w:sz w:val="16"/>
      <w:szCs w:val="16"/>
    </w:rPr>
  </w:style>
  <w:style w:type="paragraph" w:styleId="Retrait1religne">
    <w:name w:val="Body Text First Indent"/>
    <w:basedOn w:val="Corpsdetexte"/>
    <w:link w:val="Retrait1religneCar"/>
    <w:uiPriority w:val="99"/>
    <w:semiHidden/>
    <w:rsid w:val="00E77CB3"/>
    <w:pPr>
      <w:spacing w:after="0"/>
      <w:ind w:firstLine="360"/>
    </w:pPr>
  </w:style>
  <w:style w:type="character" w:customStyle="1" w:styleId="Retrait1religneCar">
    <w:name w:val="Retrait 1ère ligne Car"/>
    <w:basedOn w:val="CorpsdetexteCar"/>
    <w:link w:val="Retrait1religne"/>
    <w:uiPriority w:val="99"/>
    <w:semiHidden/>
    <w:rsid w:val="00E77CB3"/>
    <w:rPr>
      <w:rFonts w:eastAsiaTheme="minorEastAsia"/>
      <w:sz w:val="24"/>
    </w:rPr>
  </w:style>
  <w:style w:type="paragraph" w:styleId="Retraitcorpsdetexte">
    <w:name w:val="Body Text Indent"/>
    <w:basedOn w:val="Normal"/>
    <w:link w:val="RetraitcorpsdetexteCar"/>
    <w:uiPriority w:val="99"/>
    <w:semiHidden/>
    <w:rsid w:val="00E77CB3"/>
    <w:pPr>
      <w:spacing w:after="120"/>
      <w:ind w:left="283"/>
    </w:pPr>
  </w:style>
  <w:style w:type="character" w:customStyle="1" w:styleId="RetraitcorpsdetexteCar">
    <w:name w:val="Retrait corps de texte Car"/>
    <w:basedOn w:val="Policepardfaut"/>
    <w:link w:val="Retraitcorpsdetexte"/>
    <w:uiPriority w:val="99"/>
    <w:semiHidden/>
    <w:rsid w:val="00E77CB3"/>
    <w:rPr>
      <w:rFonts w:eastAsiaTheme="minorEastAsia"/>
      <w:sz w:val="24"/>
    </w:rPr>
  </w:style>
  <w:style w:type="paragraph" w:styleId="Retraitcorpset1relig">
    <w:name w:val="Body Text First Indent 2"/>
    <w:basedOn w:val="Retraitcorpsdetexte"/>
    <w:link w:val="Retraitcorpset1religCar"/>
    <w:uiPriority w:val="99"/>
    <w:semiHidden/>
    <w:rsid w:val="00E77CB3"/>
    <w:pPr>
      <w:spacing w:after="0"/>
      <w:ind w:left="360" w:firstLine="360"/>
    </w:pPr>
  </w:style>
  <w:style w:type="character" w:customStyle="1" w:styleId="Retraitcorpset1religCar">
    <w:name w:val="Retrait corps et 1ère lig. Car"/>
    <w:basedOn w:val="RetraitcorpsdetexteCar"/>
    <w:link w:val="Retraitcorpset1relig"/>
    <w:uiPriority w:val="99"/>
    <w:semiHidden/>
    <w:rsid w:val="00E77CB3"/>
    <w:rPr>
      <w:rFonts w:eastAsiaTheme="minorEastAsia"/>
      <w:sz w:val="24"/>
    </w:rPr>
  </w:style>
  <w:style w:type="paragraph" w:styleId="Retraitcorpsdetexte2">
    <w:name w:val="Body Text Indent 2"/>
    <w:basedOn w:val="Normal"/>
    <w:link w:val="Retraitcorpsdetexte2Car"/>
    <w:uiPriority w:val="99"/>
    <w:semiHidden/>
    <w:rsid w:val="00E77CB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77CB3"/>
    <w:rPr>
      <w:rFonts w:eastAsiaTheme="minorEastAsia"/>
      <w:sz w:val="24"/>
    </w:rPr>
  </w:style>
  <w:style w:type="paragraph" w:styleId="Retraitcorpsdetexte3">
    <w:name w:val="Body Text Indent 3"/>
    <w:basedOn w:val="Normal"/>
    <w:link w:val="Retraitcorpsdetexte3Car"/>
    <w:uiPriority w:val="99"/>
    <w:semiHidden/>
    <w:rsid w:val="00E77CB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77CB3"/>
    <w:rPr>
      <w:rFonts w:eastAsiaTheme="minorEastAsia"/>
      <w:sz w:val="16"/>
      <w:szCs w:val="16"/>
    </w:rPr>
  </w:style>
  <w:style w:type="paragraph" w:styleId="Lgende">
    <w:name w:val="caption"/>
    <w:basedOn w:val="Normal"/>
    <w:next w:val="Normal"/>
    <w:uiPriority w:val="99"/>
    <w:semiHidden/>
    <w:qFormat/>
    <w:rsid w:val="00E77CB3"/>
    <w:pPr>
      <w:spacing w:after="200"/>
    </w:pPr>
    <w:rPr>
      <w:b/>
      <w:bCs/>
      <w:color w:val="0072BC" w:themeColor="accent1"/>
      <w:sz w:val="18"/>
      <w:szCs w:val="18"/>
    </w:rPr>
  </w:style>
  <w:style w:type="paragraph" w:styleId="Formulepolitesse">
    <w:name w:val="Closing"/>
    <w:basedOn w:val="Normal"/>
    <w:link w:val="FormulepolitesseCar"/>
    <w:uiPriority w:val="99"/>
    <w:semiHidden/>
    <w:rsid w:val="00E77CB3"/>
    <w:pPr>
      <w:ind w:left="4252"/>
    </w:pPr>
  </w:style>
  <w:style w:type="character" w:customStyle="1" w:styleId="FormulepolitesseCar">
    <w:name w:val="Formule politesse Car"/>
    <w:basedOn w:val="Policepardfaut"/>
    <w:link w:val="Formulepolitesse"/>
    <w:uiPriority w:val="99"/>
    <w:semiHidden/>
    <w:rsid w:val="00E77CB3"/>
    <w:rPr>
      <w:rFonts w:eastAsiaTheme="minorEastAsia"/>
      <w:sz w:val="24"/>
    </w:rPr>
  </w:style>
  <w:style w:type="table" w:styleId="Grillecouleur">
    <w:name w:val="Colorful Grid"/>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E77CB3"/>
  </w:style>
  <w:style w:type="character" w:customStyle="1" w:styleId="DateCar">
    <w:name w:val="Date Car"/>
    <w:basedOn w:val="Policepardfaut"/>
    <w:link w:val="Date"/>
    <w:uiPriority w:val="99"/>
    <w:semiHidden/>
    <w:rsid w:val="00E77CB3"/>
    <w:rPr>
      <w:rFonts w:eastAsiaTheme="minorEastAsia"/>
      <w:sz w:val="24"/>
    </w:rPr>
  </w:style>
  <w:style w:type="paragraph" w:styleId="Signaturelectronique">
    <w:name w:val="E-mail Signature"/>
    <w:basedOn w:val="Normal"/>
    <w:link w:val="SignaturelectroniqueCar"/>
    <w:uiPriority w:val="99"/>
    <w:semiHidden/>
    <w:rsid w:val="00E77CB3"/>
  </w:style>
  <w:style w:type="character" w:customStyle="1" w:styleId="SignaturelectroniqueCar">
    <w:name w:val="Signature électronique Car"/>
    <w:basedOn w:val="Policepardfaut"/>
    <w:link w:val="Signaturelectronique"/>
    <w:uiPriority w:val="99"/>
    <w:semiHidden/>
    <w:rsid w:val="00E77CB3"/>
    <w:rPr>
      <w:rFonts w:eastAsiaTheme="minorEastAsia"/>
      <w:sz w:val="24"/>
    </w:rPr>
  </w:style>
  <w:style w:type="paragraph" w:styleId="Adressedestinataire">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seexpditeur">
    <w:name w:val="envelope return"/>
    <w:basedOn w:val="Normal"/>
    <w:uiPriority w:val="99"/>
    <w:semiHidden/>
    <w:rsid w:val="00E77CB3"/>
    <w:rPr>
      <w:rFonts w:asciiTheme="majorHAnsi" w:eastAsiaTheme="majorEastAsia" w:hAnsiTheme="majorHAnsi" w:cstheme="majorBidi"/>
      <w:sz w:val="20"/>
      <w:szCs w:val="20"/>
    </w:rPr>
  </w:style>
  <w:style w:type="character" w:styleId="AcronymeHTML">
    <w:name w:val="HTML Acronym"/>
    <w:basedOn w:val="Policepardfaut"/>
    <w:uiPriority w:val="99"/>
    <w:semiHidden/>
    <w:rsid w:val="00E77CB3"/>
  </w:style>
  <w:style w:type="paragraph" w:styleId="AdresseHTML">
    <w:name w:val="HTML Address"/>
    <w:basedOn w:val="Normal"/>
    <w:link w:val="AdresseHTMLCar"/>
    <w:uiPriority w:val="99"/>
    <w:semiHidden/>
    <w:rsid w:val="00E77CB3"/>
    <w:rPr>
      <w:i/>
      <w:iCs/>
    </w:rPr>
  </w:style>
  <w:style w:type="character" w:customStyle="1" w:styleId="AdresseHTMLCar">
    <w:name w:val="Adresse HTML Car"/>
    <w:basedOn w:val="Policepardfaut"/>
    <w:link w:val="AdresseHTML"/>
    <w:uiPriority w:val="99"/>
    <w:semiHidden/>
    <w:rsid w:val="00E77CB3"/>
    <w:rPr>
      <w:rFonts w:eastAsiaTheme="minorEastAsia"/>
      <w:i/>
      <w:iCs/>
      <w:sz w:val="24"/>
    </w:rPr>
  </w:style>
  <w:style w:type="character" w:styleId="SiteHTML">
    <w:name w:val="HTML Cite"/>
    <w:basedOn w:val="Policepardfaut"/>
    <w:uiPriority w:val="99"/>
    <w:semiHidden/>
    <w:rsid w:val="00E77CB3"/>
    <w:rPr>
      <w:i/>
      <w:iCs/>
    </w:rPr>
  </w:style>
  <w:style w:type="character" w:styleId="CodeHTML">
    <w:name w:val="HTML Code"/>
    <w:basedOn w:val="Policepardfaut"/>
    <w:uiPriority w:val="99"/>
    <w:semiHidden/>
    <w:rsid w:val="00E77CB3"/>
    <w:rPr>
      <w:rFonts w:ascii="Consolas" w:hAnsi="Consolas" w:cs="Consolas"/>
      <w:sz w:val="20"/>
      <w:szCs w:val="20"/>
    </w:rPr>
  </w:style>
  <w:style w:type="character" w:styleId="DfinitionHTML">
    <w:name w:val="HTML Definition"/>
    <w:basedOn w:val="Policepardfaut"/>
    <w:uiPriority w:val="99"/>
    <w:semiHidden/>
    <w:rsid w:val="00E77CB3"/>
    <w:rPr>
      <w:i/>
      <w:iCs/>
    </w:rPr>
  </w:style>
  <w:style w:type="character" w:styleId="ClavierHTML">
    <w:name w:val="HTML Keyboard"/>
    <w:basedOn w:val="Policepardfaut"/>
    <w:uiPriority w:val="99"/>
    <w:semiHidden/>
    <w:rsid w:val="00E77CB3"/>
    <w:rPr>
      <w:rFonts w:ascii="Consolas" w:hAnsi="Consolas" w:cs="Consolas"/>
      <w:sz w:val="20"/>
      <w:szCs w:val="20"/>
    </w:rPr>
  </w:style>
  <w:style w:type="paragraph" w:styleId="HTMLprformat">
    <w:name w:val="HTML Preformatted"/>
    <w:basedOn w:val="Normal"/>
    <w:link w:val="HTMLprformatCar"/>
    <w:uiPriority w:val="99"/>
    <w:semiHidden/>
    <w:rsid w:val="00E77CB3"/>
    <w:rPr>
      <w:rFonts w:ascii="Consolas" w:hAnsi="Consolas" w:cs="Consolas"/>
      <w:sz w:val="20"/>
      <w:szCs w:val="20"/>
    </w:rPr>
  </w:style>
  <w:style w:type="character" w:customStyle="1" w:styleId="HTMLprformatCar">
    <w:name w:val="HTML préformaté Car"/>
    <w:basedOn w:val="Policepardfaut"/>
    <w:link w:val="HTMLprformat"/>
    <w:uiPriority w:val="99"/>
    <w:semiHidden/>
    <w:rsid w:val="00E77CB3"/>
    <w:rPr>
      <w:rFonts w:ascii="Consolas" w:eastAsiaTheme="minorEastAsia" w:hAnsi="Consolas" w:cs="Consolas"/>
      <w:sz w:val="20"/>
      <w:szCs w:val="20"/>
    </w:rPr>
  </w:style>
  <w:style w:type="character" w:styleId="ExempleHTML">
    <w:name w:val="HTML Sample"/>
    <w:basedOn w:val="Policepardfaut"/>
    <w:uiPriority w:val="99"/>
    <w:semiHidden/>
    <w:rsid w:val="00E77CB3"/>
    <w:rPr>
      <w:rFonts w:ascii="Consolas" w:hAnsi="Consolas" w:cs="Consolas"/>
      <w:sz w:val="24"/>
      <w:szCs w:val="24"/>
    </w:rPr>
  </w:style>
  <w:style w:type="character" w:styleId="MachinecrireHTML">
    <w:name w:val="HTML Typewriter"/>
    <w:basedOn w:val="Policepardfaut"/>
    <w:uiPriority w:val="99"/>
    <w:semiHidden/>
    <w:rsid w:val="00E77CB3"/>
    <w:rPr>
      <w:rFonts w:ascii="Consolas" w:hAnsi="Consolas" w:cs="Consolas"/>
      <w:sz w:val="20"/>
      <w:szCs w:val="20"/>
    </w:rPr>
  </w:style>
  <w:style w:type="character" w:styleId="VariableHTML">
    <w:name w:val="HTML Variable"/>
    <w:basedOn w:val="Policepardfau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Titreindex">
    <w:name w:val="index heading"/>
    <w:basedOn w:val="Normal"/>
    <w:next w:val="Index1"/>
    <w:uiPriority w:val="99"/>
    <w:semiHidden/>
    <w:rsid w:val="00E77CB3"/>
    <w:rPr>
      <w:rFonts w:asciiTheme="majorHAnsi" w:eastAsiaTheme="majorEastAsia" w:hAnsiTheme="majorHAnsi" w:cstheme="majorBidi"/>
      <w:b/>
      <w:bCs/>
    </w:rPr>
  </w:style>
  <w:style w:type="table" w:styleId="Grilleclaire">
    <w:name w:val="Light Grid"/>
    <w:basedOn w:val="Tableau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E77CB3"/>
  </w:style>
  <w:style w:type="paragraph" w:styleId="Liste">
    <w:name w:val="List"/>
    <w:basedOn w:val="Normal"/>
    <w:uiPriority w:val="99"/>
    <w:semiHidden/>
    <w:rsid w:val="00E77CB3"/>
    <w:pPr>
      <w:ind w:left="283" w:hanging="283"/>
      <w:contextualSpacing/>
    </w:pPr>
  </w:style>
  <w:style w:type="paragraph" w:styleId="Liste2">
    <w:name w:val="List 2"/>
    <w:basedOn w:val="Normal"/>
    <w:uiPriority w:val="99"/>
    <w:semiHidden/>
    <w:rsid w:val="00E77CB3"/>
    <w:pPr>
      <w:ind w:left="566" w:hanging="283"/>
      <w:contextualSpacing/>
    </w:pPr>
  </w:style>
  <w:style w:type="paragraph" w:styleId="Liste3">
    <w:name w:val="List 3"/>
    <w:basedOn w:val="Normal"/>
    <w:uiPriority w:val="99"/>
    <w:semiHidden/>
    <w:rsid w:val="00E77CB3"/>
    <w:pPr>
      <w:ind w:left="849" w:hanging="283"/>
      <w:contextualSpacing/>
    </w:pPr>
  </w:style>
  <w:style w:type="paragraph" w:styleId="Liste4">
    <w:name w:val="List 4"/>
    <w:basedOn w:val="Normal"/>
    <w:uiPriority w:val="99"/>
    <w:semiHidden/>
    <w:rsid w:val="00E77CB3"/>
    <w:pPr>
      <w:ind w:left="1132" w:hanging="283"/>
      <w:contextualSpacing/>
    </w:pPr>
  </w:style>
  <w:style w:type="paragraph" w:styleId="Liste5">
    <w:name w:val="List 5"/>
    <w:basedOn w:val="Normal"/>
    <w:uiPriority w:val="99"/>
    <w:semiHidden/>
    <w:rsid w:val="00E77CB3"/>
    <w:pPr>
      <w:ind w:left="1415" w:hanging="283"/>
      <w:contextualSpacing/>
    </w:pPr>
  </w:style>
  <w:style w:type="paragraph" w:styleId="Listepuces2">
    <w:name w:val="List Bullet 2"/>
    <w:basedOn w:val="Normal"/>
    <w:uiPriority w:val="99"/>
    <w:semiHidden/>
    <w:rsid w:val="00E77CB3"/>
    <w:pPr>
      <w:numPr>
        <w:numId w:val="5"/>
      </w:numPr>
      <w:contextualSpacing/>
    </w:pPr>
  </w:style>
  <w:style w:type="paragraph" w:styleId="Listepuces3">
    <w:name w:val="List Bullet 3"/>
    <w:basedOn w:val="Normal"/>
    <w:uiPriority w:val="99"/>
    <w:semiHidden/>
    <w:rsid w:val="00E77CB3"/>
    <w:pPr>
      <w:numPr>
        <w:numId w:val="6"/>
      </w:numPr>
      <w:contextualSpacing/>
    </w:pPr>
  </w:style>
  <w:style w:type="paragraph" w:styleId="Listepuces4">
    <w:name w:val="List Bullet 4"/>
    <w:basedOn w:val="Normal"/>
    <w:uiPriority w:val="99"/>
    <w:semiHidden/>
    <w:rsid w:val="00E77CB3"/>
    <w:pPr>
      <w:numPr>
        <w:numId w:val="7"/>
      </w:numPr>
      <w:contextualSpacing/>
    </w:pPr>
  </w:style>
  <w:style w:type="paragraph" w:styleId="Listepuces5">
    <w:name w:val="List Bullet 5"/>
    <w:basedOn w:val="Normal"/>
    <w:uiPriority w:val="99"/>
    <w:semiHidden/>
    <w:rsid w:val="00E77CB3"/>
    <w:pPr>
      <w:numPr>
        <w:numId w:val="8"/>
      </w:numPr>
      <w:contextualSpacing/>
    </w:pPr>
  </w:style>
  <w:style w:type="paragraph" w:styleId="Listecontinue">
    <w:name w:val="List Continue"/>
    <w:basedOn w:val="Normal"/>
    <w:uiPriority w:val="99"/>
    <w:semiHidden/>
    <w:rsid w:val="00E77CB3"/>
    <w:pPr>
      <w:spacing w:after="120"/>
      <w:ind w:left="283"/>
      <w:contextualSpacing/>
    </w:pPr>
  </w:style>
  <w:style w:type="paragraph" w:styleId="Listecontinue2">
    <w:name w:val="List Continue 2"/>
    <w:basedOn w:val="Normal"/>
    <w:uiPriority w:val="99"/>
    <w:semiHidden/>
    <w:rsid w:val="00E77CB3"/>
    <w:pPr>
      <w:spacing w:after="120"/>
      <w:ind w:left="566"/>
      <w:contextualSpacing/>
    </w:pPr>
  </w:style>
  <w:style w:type="paragraph" w:styleId="Listecontinue3">
    <w:name w:val="List Continue 3"/>
    <w:basedOn w:val="Normal"/>
    <w:uiPriority w:val="99"/>
    <w:semiHidden/>
    <w:rsid w:val="00E77CB3"/>
    <w:pPr>
      <w:spacing w:after="120"/>
      <w:ind w:left="849"/>
      <w:contextualSpacing/>
    </w:pPr>
  </w:style>
  <w:style w:type="paragraph" w:styleId="Listecontinue4">
    <w:name w:val="List Continue 4"/>
    <w:basedOn w:val="Normal"/>
    <w:uiPriority w:val="99"/>
    <w:semiHidden/>
    <w:rsid w:val="00E77CB3"/>
    <w:pPr>
      <w:spacing w:after="120"/>
      <w:ind w:left="1132"/>
      <w:contextualSpacing/>
    </w:pPr>
  </w:style>
  <w:style w:type="paragraph" w:styleId="Listecontinue5">
    <w:name w:val="List Continue 5"/>
    <w:basedOn w:val="Normal"/>
    <w:uiPriority w:val="99"/>
    <w:semiHidden/>
    <w:rsid w:val="00E77CB3"/>
    <w:pPr>
      <w:spacing w:after="120"/>
      <w:ind w:left="1415"/>
      <w:contextualSpacing/>
    </w:pPr>
  </w:style>
  <w:style w:type="paragraph" w:styleId="Listenumros">
    <w:name w:val="List Number"/>
    <w:basedOn w:val="Normal"/>
    <w:uiPriority w:val="99"/>
    <w:semiHidden/>
    <w:rsid w:val="00E77CB3"/>
    <w:pPr>
      <w:numPr>
        <w:numId w:val="9"/>
      </w:numPr>
      <w:contextualSpacing/>
    </w:pPr>
  </w:style>
  <w:style w:type="paragraph" w:styleId="Listenumros2">
    <w:name w:val="List Number 2"/>
    <w:basedOn w:val="Normal"/>
    <w:uiPriority w:val="99"/>
    <w:semiHidden/>
    <w:rsid w:val="00E77CB3"/>
    <w:pPr>
      <w:numPr>
        <w:numId w:val="10"/>
      </w:numPr>
      <w:contextualSpacing/>
    </w:pPr>
  </w:style>
  <w:style w:type="paragraph" w:styleId="Listenumros3">
    <w:name w:val="List Number 3"/>
    <w:basedOn w:val="Normal"/>
    <w:uiPriority w:val="99"/>
    <w:semiHidden/>
    <w:rsid w:val="00E77CB3"/>
    <w:pPr>
      <w:numPr>
        <w:numId w:val="11"/>
      </w:numPr>
      <w:contextualSpacing/>
    </w:pPr>
  </w:style>
  <w:style w:type="paragraph" w:styleId="Listenumros4">
    <w:name w:val="List Number 4"/>
    <w:basedOn w:val="Normal"/>
    <w:uiPriority w:val="99"/>
    <w:semiHidden/>
    <w:rsid w:val="00E77CB3"/>
    <w:pPr>
      <w:numPr>
        <w:numId w:val="12"/>
      </w:numPr>
      <w:contextualSpacing/>
    </w:pPr>
  </w:style>
  <w:style w:type="paragraph" w:styleId="Listenumros5">
    <w:name w:val="List Number 5"/>
    <w:basedOn w:val="Normal"/>
    <w:uiPriority w:val="99"/>
    <w:semiHidden/>
    <w:rsid w:val="00E77CB3"/>
    <w:pPr>
      <w:numPr>
        <w:numId w:val="13"/>
      </w:numPr>
      <w:contextualSpacing/>
    </w:pPr>
  </w:style>
  <w:style w:type="paragraph" w:styleId="Textedemacro">
    <w:name w:val="macro"/>
    <w:link w:val="TextedemacroC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xtedemacroCar">
    <w:name w:val="Texte de macro Car"/>
    <w:basedOn w:val="Policepardfaut"/>
    <w:link w:val="Textedemacro"/>
    <w:uiPriority w:val="99"/>
    <w:semiHidden/>
    <w:rsid w:val="00E77CB3"/>
    <w:rPr>
      <w:rFonts w:ascii="Consolas" w:eastAsiaTheme="minorEastAsia" w:hAnsi="Consolas" w:cs="Consolas"/>
      <w:sz w:val="20"/>
      <w:szCs w:val="20"/>
    </w:rPr>
  </w:style>
  <w:style w:type="table" w:styleId="Grillemoyenne1">
    <w:name w:val="Medium Grid 1"/>
    <w:basedOn w:val="Tableau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Retraitnormal">
    <w:name w:val="Normal Indent"/>
    <w:basedOn w:val="Normal"/>
    <w:uiPriority w:val="99"/>
    <w:semiHidden/>
    <w:rsid w:val="00E77CB3"/>
    <w:pPr>
      <w:ind w:left="720"/>
    </w:pPr>
  </w:style>
  <w:style w:type="paragraph" w:styleId="Titredenote">
    <w:name w:val="Note Heading"/>
    <w:basedOn w:val="Normal"/>
    <w:next w:val="Normal"/>
    <w:link w:val="TitredenoteCar"/>
    <w:uiPriority w:val="99"/>
    <w:semiHidden/>
    <w:rsid w:val="00E77CB3"/>
  </w:style>
  <w:style w:type="character" w:customStyle="1" w:styleId="TitredenoteCar">
    <w:name w:val="Titre de note Car"/>
    <w:basedOn w:val="Policepardfaut"/>
    <w:link w:val="Titredenote"/>
    <w:uiPriority w:val="99"/>
    <w:semiHidden/>
    <w:rsid w:val="00E77CB3"/>
    <w:rPr>
      <w:rFonts w:eastAsiaTheme="minorEastAsia"/>
      <w:sz w:val="24"/>
    </w:rPr>
  </w:style>
  <w:style w:type="character" w:styleId="Textedelespacerserv">
    <w:name w:val="Placeholder Text"/>
    <w:basedOn w:val="Policepardfaut"/>
    <w:uiPriority w:val="99"/>
    <w:semiHidden/>
    <w:rsid w:val="00A66252"/>
    <w:rPr>
      <w:color w:val="auto"/>
      <w:bdr w:val="none" w:sz="0" w:space="0" w:color="auto"/>
      <w:shd w:val="clear" w:color="auto" w:fill="DFDFDF" w:themeFill="background2" w:themeFillShade="E6"/>
    </w:rPr>
  </w:style>
  <w:style w:type="paragraph" w:styleId="Textebrut">
    <w:name w:val="Plain Text"/>
    <w:basedOn w:val="Normal"/>
    <w:link w:val="TextebrutCar"/>
    <w:uiPriority w:val="99"/>
    <w:semiHidden/>
    <w:rsid w:val="00E77CB3"/>
    <w:rPr>
      <w:rFonts w:ascii="Consolas" w:hAnsi="Consolas" w:cs="Consolas"/>
      <w:sz w:val="21"/>
      <w:szCs w:val="21"/>
    </w:rPr>
  </w:style>
  <w:style w:type="character" w:customStyle="1" w:styleId="TextebrutCar">
    <w:name w:val="Texte brut Car"/>
    <w:basedOn w:val="Policepardfaut"/>
    <w:link w:val="Textebrut"/>
    <w:uiPriority w:val="99"/>
    <w:semiHidden/>
    <w:rsid w:val="00E77CB3"/>
    <w:rPr>
      <w:rFonts w:ascii="Consolas" w:eastAsiaTheme="minorEastAsia" w:hAnsi="Consolas" w:cs="Consolas"/>
      <w:sz w:val="21"/>
      <w:szCs w:val="21"/>
    </w:rPr>
  </w:style>
  <w:style w:type="paragraph" w:styleId="Salutations">
    <w:name w:val="Salutation"/>
    <w:basedOn w:val="Normal"/>
    <w:next w:val="Normal"/>
    <w:link w:val="SalutationsCar"/>
    <w:uiPriority w:val="99"/>
    <w:semiHidden/>
    <w:rsid w:val="00E77CB3"/>
  </w:style>
  <w:style w:type="character" w:customStyle="1" w:styleId="SalutationsCar">
    <w:name w:val="Salutations Car"/>
    <w:basedOn w:val="Policepardfaut"/>
    <w:link w:val="Salutations"/>
    <w:uiPriority w:val="99"/>
    <w:semiHidden/>
    <w:rsid w:val="00E77CB3"/>
    <w:rPr>
      <w:rFonts w:eastAsiaTheme="minorEastAsia"/>
      <w:sz w:val="24"/>
    </w:rPr>
  </w:style>
  <w:style w:type="paragraph" w:styleId="Signature">
    <w:name w:val="Signature"/>
    <w:basedOn w:val="Normal"/>
    <w:link w:val="SignatureCar"/>
    <w:uiPriority w:val="99"/>
    <w:semiHidden/>
    <w:rsid w:val="00E77CB3"/>
    <w:pPr>
      <w:ind w:left="4252"/>
    </w:pPr>
  </w:style>
  <w:style w:type="character" w:customStyle="1" w:styleId="SignatureCar">
    <w:name w:val="Signature Car"/>
    <w:basedOn w:val="Policepardfaut"/>
    <w:link w:val="Signature"/>
    <w:uiPriority w:val="99"/>
    <w:semiHidden/>
    <w:rsid w:val="00E77CB3"/>
    <w:rPr>
      <w:rFonts w:eastAsiaTheme="minorEastAsia"/>
      <w:sz w:val="24"/>
    </w:rPr>
  </w:style>
  <w:style w:type="table" w:styleId="Effets3D1">
    <w:name w:val="Table 3D effects 1"/>
    <w:basedOn w:val="TableauNormal"/>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uiPriority w:val="99"/>
    <w:semiHidden/>
    <w:rsid w:val="00E77CB3"/>
    <w:pPr>
      <w:ind w:left="240" w:hanging="240"/>
    </w:pPr>
  </w:style>
  <w:style w:type="paragraph" w:styleId="Tabledesillustrations">
    <w:name w:val="table of figures"/>
    <w:basedOn w:val="Normal"/>
    <w:next w:val="Normal"/>
    <w:uiPriority w:val="99"/>
    <w:semiHidden/>
    <w:rsid w:val="00E77CB3"/>
  </w:style>
  <w:style w:type="table" w:styleId="Professionnel">
    <w:name w:val="Table Professional"/>
    <w:basedOn w:val="Tableau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6">
    <w:name w:val="toc 6"/>
    <w:basedOn w:val="Normal"/>
    <w:next w:val="Normal"/>
    <w:autoRedefine/>
    <w:uiPriority w:val="99"/>
    <w:semiHidden/>
    <w:rsid w:val="00A66252"/>
    <w:pPr>
      <w:tabs>
        <w:tab w:val="right" w:leader="dot" w:pos="7371"/>
      </w:tabs>
      <w:spacing w:after="60" w:line="240" w:lineRule="exact"/>
      <w:ind w:left="2041" w:right="567" w:hanging="340"/>
    </w:pPr>
    <w:rPr>
      <w:sz w:val="20"/>
    </w:rPr>
  </w:style>
  <w:style w:type="paragraph" w:styleId="TM7">
    <w:name w:val="toc 7"/>
    <w:basedOn w:val="Normal"/>
    <w:next w:val="Normal"/>
    <w:autoRedefine/>
    <w:uiPriority w:val="99"/>
    <w:semiHidden/>
    <w:rsid w:val="00A66252"/>
    <w:pPr>
      <w:tabs>
        <w:tab w:val="right" w:leader="dot" w:pos="7371"/>
      </w:tabs>
      <w:spacing w:after="60" w:line="240" w:lineRule="exact"/>
      <w:ind w:left="2381" w:right="567" w:hanging="340"/>
    </w:pPr>
    <w:rPr>
      <w:sz w:val="20"/>
    </w:rPr>
  </w:style>
  <w:style w:type="paragraph" w:styleId="TM8">
    <w:name w:val="toc 8"/>
    <w:basedOn w:val="Normal"/>
    <w:next w:val="Normal"/>
    <w:autoRedefine/>
    <w:uiPriority w:val="99"/>
    <w:semiHidden/>
    <w:rsid w:val="00E77CB3"/>
    <w:pPr>
      <w:spacing w:after="100"/>
      <w:ind w:left="1680"/>
    </w:pPr>
  </w:style>
  <w:style w:type="paragraph" w:styleId="TM9">
    <w:name w:val="toc 9"/>
    <w:basedOn w:val="Normal"/>
    <w:next w:val="Normal"/>
    <w:autoRedefine/>
    <w:uiPriority w:val="99"/>
    <w:semiHidden/>
    <w:rsid w:val="00E77CB3"/>
    <w:pPr>
      <w:spacing w:after="100"/>
      <w:ind w:left="1920"/>
    </w:pPr>
  </w:style>
  <w:style w:type="paragraph" w:customStyle="1" w:styleId="OpiHa">
    <w:name w:val="Opi_H_a"/>
    <w:basedOn w:val="ECHRHeading3"/>
    <w:uiPriority w:val="43"/>
    <w:qFormat/>
    <w:rsid w:val="00A66252"/>
    <w:pPr>
      <w:ind w:left="833" w:hanging="357"/>
      <w:outlineLvl w:val="3"/>
    </w:pPr>
    <w:rPr>
      <w:b/>
      <w:i w:val="0"/>
      <w:sz w:val="20"/>
    </w:rPr>
  </w:style>
  <w:style w:type="paragraph" w:customStyle="1" w:styleId="JuCourt">
    <w:name w:val="Ju_Court"/>
    <w:basedOn w:val="Normal"/>
    <w:next w:val="Normal"/>
    <w:uiPriority w:val="16"/>
    <w:qFormat/>
    <w:rsid w:val="00A66252"/>
    <w:pPr>
      <w:tabs>
        <w:tab w:val="left" w:pos="907"/>
        <w:tab w:val="left" w:pos="1701"/>
        <w:tab w:val="right" w:pos="7371"/>
      </w:tabs>
      <w:spacing w:before="240"/>
      <w:ind w:left="397" w:hanging="397"/>
      <w:jc w:val="left"/>
    </w:pPr>
    <w:rPr>
      <w:lang w:bidi="en-US"/>
    </w:rPr>
  </w:style>
  <w:style w:type="paragraph" w:customStyle="1" w:styleId="OpiHA0">
    <w:name w:val="Opi_H_A"/>
    <w:basedOn w:val="ECHRHeading1"/>
    <w:next w:val="OpiPara"/>
    <w:uiPriority w:val="41"/>
    <w:qFormat/>
    <w:rsid w:val="00A66252"/>
    <w:pPr>
      <w:tabs>
        <w:tab w:val="clear" w:pos="357"/>
      </w:tabs>
      <w:outlineLvl w:val="1"/>
    </w:pPr>
    <w:rPr>
      <w:b/>
    </w:rPr>
  </w:style>
  <w:style w:type="paragraph" w:customStyle="1" w:styleId="OpiHi">
    <w:name w:val="Opi_H_i"/>
    <w:basedOn w:val="ECHRHeading4"/>
    <w:uiPriority w:val="44"/>
    <w:qFormat/>
    <w:rsid w:val="00A66252"/>
    <w:pPr>
      <w:ind w:left="1037" w:hanging="357"/>
      <w:outlineLvl w:val="4"/>
    </w:pPr>
    <w:rPr>
      <w:b w:val="0"/>
      <w:i/>
    </w:rPr>
  </w:style>
  <w:style w:type="paragraph" w:customStyle="1" w:styleId="OpiParaSub">
    <w:name w:val="Opi_Para_Sub"/>
    <w:basedOn w:val="JuParaSub"/>
    <w:uiPriority w:val="47"/>
    <w:unhideWhenUsed/>
    <w:qFormat/>
    <w:rsid w:val="00A66252"/>
  </w:style>
  <w:style w:type="paragraph" w:customStyle="1" w:styleId="OpiQuot">
    <w:name w:val="Opi_Quot"/>
    <w:basedOn w:val="ECHRParaQuote"/>
    <w:uiPriority w:val="48"/>
    <w:qFormat/>
    <w:rsid w:val="00A66252"/>
  </w:style>
  <w:style w:type="paragraph" w:customStyle="1" w:styleId="OpiQuotSub">
    <w:name w:val="Opi_Quot_Sub"/>
    <w:basedOn w:val="JuQuotSub"/>
    <w:uiPriority w:val="49"/>
    <w:qFormat/>
    <w:rsid w:val="00A66252"/>
  </w:style>
  <w:style w:type="character" w:customStyle="1" w:styleId="ECHRParaChar">
    <w:name w:val="ECHR_Para Char"/>
    <w:aliases w:val="Ju_Para Char"/>
    <w:link w:val="ECHRPara"/>
    <w:uiPriority w:val="12"/>
    <w:rsid w:val="007E5FC0"/>
    <w:rPr>
      <w:rFonts w:eastAsiaTheme="minorEastAsia"/>
      <w:sz w:val="24"/>
    </w:rPr>
  </w:style>
  <w:style w:type="character" w:customStyle="1" w:styleId="JuQuotChar">
    <w:name w:val="Ju_Quot Char"/>
    <w:link w:val="ECHRParaQuote"/>
    <w:uiPriority w:val="14"/>
    <w:rsid w:val="00E64FA9"/>
    <w:rPr>
      <w:rFonts w:eastAsiaTheme="minorEastAsia"/>
      <w:sz w:val="20"/>
    </w:rPr>
  </w:style>
  <w:style w:type="paragraph" w:styleId="Rvision">
    <w:name w:val="Revision"/>
    <w:hidden/>
    <w:uiPriority w:val="99"/>
    <w:semiHidden/>
    <w:rsid w:val="0062426D"/>
    <w:rPr>
      <w:rFonts w:eastAsiaTheme="minorEastAsia"/>
      <w:sz w:val="24"/>
    </w:rPr>
  </w:style>
  <w:style w:type="paragraph" w:customStyle="1" w:styleId="OpiTranslation">
    <w:name w:val="Opi_Translation"/>
    <w:basedOn w:val="Normal"/>
    <w:next w:val="OpiPara"/>
    <w:uiPriority w:val="40"/>
    <w:qFormat/>
    <w:rsid w:val="00A66252"/>
    <w:pPr>
      <w:jc w:val="center"/>
      <w:outlineLvl w:val="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annotation reference" w:uiPriority="0"/>
    <w:lsdException w:name="endnote tex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A66252"/>
    <w:pPr>
      <w:jc w:val="both"/>
    </w:pPr>
    <w:rPr>
      <w:rFonts w:eastAsiaTheme="minorEastAsia"/>
      <w:sz w:val="24"/>
    </w:rPr>
  </w:style>
  <w:style w:type="paragraph" w:styleId="Titre1">
    <w:name w:val="heading 1"/>
    <w:basedOn w:val="Normal"/>
    <w:next w:val="Normal"/>
    <w:link w:val="Titre1Car"/>
    <w:uiPriority w:val="99"/>
    <w:semiHidden/>
    <w:rsid w:val="00A66252"/>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A66252"/>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A66252"/>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A66252"/>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A66252"/>
    <w:pPr>
      <w:spacing w:before="200"/>
      <w:outlineLvl w:val="4"/>
    </w:pPr>
    <w:rPr>
      <w:rFonts w:asciiTheme="majorHAnsi" w:eastAsiaTheme="majorEastAsia" w:hAnsiTheme="majorHAnsi" w:cstheme="majorBidi"/>
      <w:b/>
      <w:bCs/>
      <w:color w:val="808080"/>
      <w:sz w:val="22"/>
    </w:rPr>
  </w:style>
  <w:style w:type="paragraph" w:styleId="Titre6">
    <w:name w:val="heading 6"/>
    <w:basedOn w:val="Normal"/>
    <w:next w:val="Normal"/>
    <w:link w:val="Titre6Car"/>
    <w:uiPriority w:val="99"/>
    <w:semiHidden/>
    <w:rsid w:val="00A662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A66252"/>
    <w:pPr>
      <w:outlineLvl w:val="6"/>
    </w:pPr>
    <w:rPr>
      <w:rFonts w:asciiTheme="majorHAnsi" w:eastAsiaTheme="majorEastAsia" w:hAnsiTheme="majorHAnsi" w:cstheme="majorBidi"/>
      <w:i/>
      <w:iCs/>
      <w:sz w:val="22"/>
      <w:lang w:bidi="en-US"/>
    </w:rPr>
  </w:style>
  <w:style w:type="paragraph" w:styleId="Titre8">
    <w:name w:val="heading 8"/>
    <w:basedOn w:val="Normal"/>
    <w:next w:val="Normal"/>
    <w:link w:val="Titre8Car"/>
    <w:uiPriority w:val="99"/>
    <w:semiHidden/>
    <w:qFormat/>
    <w:rsid w:val="00A66252"/>
    <w:pPr>
      <w:outlineLvl w:val="7"/>
    </w:pPr>
    <w:rPr>
      <w:rFonts w:asciiTheme="majorHAnsi" w:eastAsiaTheme="majorEastAsia" w:hAnsiTheme="majorHAnsi" w:cstheme="majorBidi"/>
      <w:sz w:val="20"/>
      <w:szCs w:val="20"/>
      <w:lang w:bidi="en-US"/>
    </w:rPr>
  </w:style>
  <w:style w:type="paragraph" w:styleId="Titre9">
    <w:name w:val="heading 9"/>
    <w:basedOn w:val="Normal"/>
    <w:next w:val="Normal"/>
    <w:link w:val="Titre9Car"/>
    <w:uiPriority w:val="99"/>
    <w:semiHidden/>
    <w:qFormat/>
    <w:rsid w:val="00A66252"/>
    <w:pPr>
      <w:outlineLvl w:val="8"/>
    </w:pPr>
    <w:rPr>
      <w:rFonts w:asciiTheme="majorHAnsi" w:eastAsiaTheme="majorEastAsia" w:hAnsiTheme="majorHAnsi" w:cstheme="majorBidi"/>
      <w:i/>
      <w:iCs/>
      <w:spacing w:val="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66252"/>
    <w:rPr>
      <w:rFonts w:ascii="Tahoma" w:hAnsi="Tahoma" w:cs="Tahoma"/>
      <w:sz w:val="16"/>
      <w:szCs w:val="16"/>
    </w:rPr>
  </w:style>
  <w:style w:type="character" w:customStyle="1" w:styleId="TextedebullesCar">
    <w:name w:val="Texte de bulles Car"/>
    <w:basedOn w:val="Policepardfaut"/>
    <w:link w:val="Textedebulles"/>
    <w:uiPriority w:val="99"/>
    <w:semiHidden/>
    <w:rsid w:val="00A66252"/>
    <w:rPr>
      <w:rFonts w:ascii="Tahoma" w:eastAsiaTheme="minorEastAsia" w:hAnsi="Tahoma" w:cs="Tahoma"/>
      <w:sz w:val="16"/>
      <w:szCs w:val="16"/>
    </w:rPr>
  </w:style>
  <w:style w:type="character" w:styleId="Titredulivre">
    <w:name w:val="Book Title"/>
    <w:uiPriority w:val="99"/>
    <w:semiHidden/>
    <w:qFormat/>
    <w:rsid w:val="00A66252"/>
    <w:rPr>
      <w:i/>
      <w:iCs/>
      <w:smallCaps/>
      <w:spacing w:val="5"/>
    </w:rPr>
  </w:style>
  <w:style w:type="paragraph" w:customStyle="1" w:styleId="ECHRHeader">
    <w:name w:val="ECHR_Header"/>
    <w:aliases w:val="Ju_Header"/>
    <w:basedOn w:val="En-tte"/>
    <w:uiPriority w:val="4"/>
    <w:qFormat/>
    <w:rsid w:val="00A66252"/>
    <w:pPr>
      <w:tabs>
        <w:tab w:val="clear" w:pos="4536"/>
        <w:tab w:val="clear" w:pos="9072"/>
        <w:tab w:val="center" w:pos="3686"/>
        <w:tab w:val="right" w:pos="7371"/>
      </w:tabs>
      <w:jc w:val="left"/>
    </w:pPr>
    <w:rPr>
      <w:sz w:val="18"/>
    </w:rPr>
  </w:style>
  <w:style w:type="paragraph" w:customStyle="1" w:styleId="ECHRFooter">
    <w:name w:val="ECHR_Footer"/>
    <w:aliases w:val="Footer_ECHR"/>
    <w:basedOn w:val="Pieddepage"/>
    <w:uiPriority w:val="57"/>
    <w:semiHidden/>
    <w:rsid w:val="00A66252"/>
    <w:pPr>
      <w:jc w:val="left"/>
    </w:pPr>
    <w:rPr>
      <w:sz w:val="8"/>
    </w:rPr>
  </w:style>
  <w:style w:type="character" w:styleId="lev">
    <w:name w:val="Strong"/>
    <w:uiPriority w:val="99"/>
    <w:semiHidden/>
    <w:qFormat/>
    <w:rsid w:val="00A66252"/>
    <w:rPr>
      <w:b/>
      <w:bCs/>
    </w:rPr>
  </w:style>
  <w:style w:type="paragraph" w:styleId="Sansinterligne">
    <w:name w:val="No Spacing"/>
    <w:basedOn w:val="Normal"/>
    <w:link w:val="SansinterligneCar"/>
    <w:semiHidden/>
    <w:qFormat/>
    <w:rsid w:val="00A66252"/>
    <w:rPr>
      <w:sz w:val="22"/>
    </w:rPr>
  </w:style>
  <w:style w:type="character" w:customStyle="1" w:styleId="SansinterligneCar">
    <w:name w:val="Sans interligne Car"/>
    <w:basedOn w:val="Policepardfaut"/>
    <w:link w:val="Sansinterligne"/>
    <w:semiHidden/>
    <w:rsid w:val="00A66252"/>
    <w:rPr>
      <w:rFonts w:eastAsiaTheme="minorEastAsia"/>
    </w:rPr>
  </w:style>
  <w:style w:type="paragraph" w:customStyle="1" w:styleId="ECHRFooterLine">
    <w:name w:val="ECHR_Footer_Line"/>
    <w:aliases w:val="Footer_Line"/>
    <w:basedOn w:val="Normal"/>
    <w:next w:val="ECHRFooter"/>
    <w:uiPriority w:val="57"/>
    <w:semiHidden/>
    <w:rsid w:val="00A66252"/>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66252"/>
  </w:style>
  <w:style w:type="paragraph" w:customStyle="1" w:styleId="OpiPara">
    <w:name w:val="Opi_Para"/>
    <w:basedOn w:val="ECHRPara"/>
    <w:uiPriority w:val="46"/>
    <w:qFormat/>
    <w:rsid w:val="00A66252"/>
  </w:style>
  <w:style w:type="paragraph" w:customStyle="1" w:styleId="JuParaSub">
    <w:name w:val="Ju_Para_Sub"/>
    <w:basedOn w:val="ECHRPara"/>
    <w:uiPriority w:val="13"/>
    <w:unhideWhenUsed/>
    <w:qFormat/>
    <w:rsid w:val="00A66252"/>
    <w:pPr>
      <w:ind w:left="284"/>
    </w:pPr>
  </w:style>
  <w:style w:type="paragraph" w:customStyle="1" w:styleId="ECHRTitleCentre3">
    <w:name w:val="ECHR_Title_Centre_3"/>
    <w:aliases w:val="Ju_H_Article"/>
    <w:basedOn w:val="Normal"/>
    <w:next w:val="ECHRParaQuote"/>
    <w:uiPriority w:val="27"/>
    <w:qFormat/>
    <w:rsid w:val="00A662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66252"/>
    <w:pPr>
      <w:keepNext/>
      <w:keepLines/>
      <w:spacing w:after="240"/>
      <w:jc w:val="center"/>
      <w:outlineLvl w:val="0"/>
    </w:pPr>
    <w:rPr>
      <w:rFonts w:asciiTheme="majorHAnsi" w:hAnsiTheme="majorHAnsi"/>
      <w:sz w:val="28"/>
    </w:rPr>
  </w:style>
  <w:style w:type="paragraph" w:customStyle="1" w:styleId="DecList">
    <w:name w:val="Dec_List"/>
    <w:basedOn w:val="Normal"/>
    <w:uiPriority w:val="9"/>
    <w:semiHidden/>
    <w:qFormat/>
    <w:rsid w:val="00A66252"/>
    <w:pPr>
      <w:spacing w:before="240"/>
      <w:ind w:left="284"/>
    </w:pPr>
  </w:style>
  <w:style w:type="paragraph" w:customStyle="1" w:styleId="DummyStyle">
    <w:name w:val="Dummy_Style"/>
    <w:basedOn w:val="Normal"/>
    <w:semiHidden/>
    <w:qFormat/>
    <w:rsid w:val="00A66252"/>
    <w:rPr>
      <w:color w:val="00B050"/>
    </w:rPr>
  </w:style>
  <w:style w:type="paragraph" w:customStyle="1" w:styleId="JuAppQuestion">
    <w:name w:val="Ju_App_Question"/>
    <w:basedOn w:val="Normal"/>
    <w:uiPriority w:val="5"/>
    <w:semiHidden/>
    <w:qFormat/>
    <w:rsid w:val="00A66252"/>
    <w:pPr>
      <w:numPr>
        <w:numId w:val="17"/>
      </w:numPr>
      <w:jc w:val="left"/>
    </w:pPr>
    <w:rPr>
      <w:b/>
    </w:rPr>
  </w:style>
  <w:style w:type="paragraph" w:customStyle="1" w:styleId="ECHRTitleCentre2">
    <w:name w:val="ECHR_Title_Centre_2"/>
    <w:aliases w:val="Dec_H_Case"/>
    <w:basedOn w:val="Normal"/>
    <w:next w:val="ECHRPara"/>
    <w:uiPriority w:val="8"/>
    <w:qFormat/>
    <w:rsid w:val="00A66252"/>
    <w:pPr>
      <w:spacing w:after="240"/>
      <w:jc w:val="center"/>
      <w:outlineLvl w:val="0"/>
    </w:pPr>
    <w:rPr>
      <w:rFonts w:asciiTheme="majorHAnsi" w:hAnsiTheme="majorHAnsi"/>
      <w:i/>
    </w:rPr>
  </w:style>
  <w:style w:type="paragraph" w:customStyle="1" w:styleId="JuHeaderLandscape">
    <w:name w:val="Ju_Header_Landscape"/>
    <w:basedOn w:val="ECHRHeader"/>
    <w:uiPriority w:val="4"/>
    <w:qFormat/>
    <w:rsid w:val="00A66252"/>
    <w:pPr>
      <w:tabs>
        <w:tab w:val="clear" w:pos="3686"/>
        <w:tab w:val="clear" w:pos="7371"/>
        <w:tab w:val="center" w:pos="6146"/>
        <w:tab w:val="right" w:pos="12293"/>
      </w:tabs>
    </w:pPr>
  </w:style>
  <w:style w:type="paragraph" w:styleId="Titre">
    <w:name w:val="Title"/>
    <w:basedOn w:val="Normal"/>
    <w:next w:val="Normal"/>
    <w:link w:val="TitreCar"/>
    <w:uiPriority w:val="99"/>
    <w:semiHidden/>
    <w:qFormat/>
    <w:rsid w:val="00A6625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reCar">
    <w:name w:val="Titre Car"/>
    <w:basedOn w:val="Policepardfaut"/>
    <w:link w:val="Titre"/>
    <w:uiPriority w:val="99"/>
    <w:semiHidden/>
    <w:rsid w:val="00A66252"/>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re3"/>
    <w:next w:val="ECHRPara"/>
    <w:uiPriority w:val="21"/>
    <w:qFormat/>
    <w:rsid w:val="00A6625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re4"/>
    <w:next w:val="ECHRPara"/>
    <w:uiPriority w:val="22"/>
    <w:qFormat/>
    <w:rsid w:val="00A662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re5"/>
    <w:next w:val="ECHRPara"/>
    <w:uiPriority w:val="23"/>
    <w:qFormat/>
    <w:rsid w:val="00A6625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re6"/>
    <w:next w:val="ECHRPara"/>
    <w:uiPriority w:val="24"/>
    <w:qFormat/>
    <w:rsid w:val="00A6625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re7"/>
    <w:next w:val="ECHRPara"/>
    <w:uiPriority w:val="25"/>
    <w:qFormat/>
    <w:rsid w:val="00A66252"/>
    <w:pPr>
      <w:keepNext/>
      <w:keepLines/>
      <w:spacing w:before="240" w:after="120"/>
      <w:ind w:left="1236"/>
    </w:pPr>
    <w:rPr>
      <w:sz w:val="20"/>
    </w:rPr>
  </w:style>
  <w:style w:type="paragraph" w:customStyle="1" w:styleId="JuQuotSub">
    <w:name w:val="Ju_Quot_Sub"/>
    <w:basedOn w:val="ECHRParaQuote"/>
    <w:uiPriority w:val="15"/>
    <w:qFormat/>
    <w:rsid w:val="00A66252"/>
    <w:pPr>
      <w:ind w:left="567"/>
    </w:pPr>
  </w:style>
  <w:style w:type="paragraph" w:customStyle="1" w:styleId="JuInitialled">
    <w:name w:val="Ju_Initialled"/>
    <w:basedOn w:val="Normal"/>
    <w:uiPriority w:val="31"/>
    <w:qFormat/>
    <w:rsid w:val="00A66252"/>
    <w:pPr>
      <w:tabs>
        <w:tab w:val="center" w:pos="6407"/>
      </w:tabs>
      <w:spacing w:before="720"/>
      <w:jc w:val="right"/>
    </w:pPr>
  </w:style>
  <w:style w:type="character" w:customStyle="1" w:styleId="JuITMark">
    <w:name w:val="Ju_ITMark"/>
    <w:basedOn w:val="Policepardfaut"/>
    <w:uiPriority w:val="38"/>
    <w:qFormat/>
    <w:rsid w:val="00A66252"/>
    <w:rPr>
      <w:vanish w:val="0"/>
      <w:color w:val="auto"/>
      <w:sz w:val="14"/>
    </w:rPr>
  </w:style>
  <w:style w:type="paragraph" w:styleId="En-tte">
    <w:name w:val="header"/>
    <w:basedOn w:val="Normal"/>
    <w:link w:val="En-tteCar"/>
    <w:uiPriority w:val="57"/>
    <w:semiHidden/>
    <w:rsid w:val="00A66252"/>
    <w:pPr>
      <w:tabs>
        <w:tab w:val="center" w:pos="4536"/>
        <w:tab w:val="right" w:pos="9072"/>
      </w:tabs>
    </w:pPr>
    <w:rPr>
      <w:rFonts w:eastAsiaTheme="minorHAnsi"/>
    </w:rPr>
  </w:style>
  <w:style w:type="character" w:customStyle="1" w:styleId="En-tteCar">
    <w:name w:val="En-tête Car"/>
    <w:basedOn w:val="Policepardfaut"/>
    <w:link w:val="En-tte"/>
    <w:uiPriority w:val="57"/>
    <w:semiHidden/>
    <w:rsid w:val="00A66252"/>
    <w:rPr>
      <w:sz w:val="24"/>
    </w:rPr>
  </w:style>
  <w:style w:type="character" w:customStyle="1" w:styleId="Titre1Car">
    <w:name w:val="Titre 1 Car"/>
    <w:basedOn w:val="Policepardfaut"/>
    <w:link w:val="Titre1"/>
    <w:uiPriority w:val="99"/>
    <w:semiHidden/>
    <w:rsid w:val="00A6625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re1"/>
    <w:next w:val="ECHRPara"/>
    <w:uiPriority w:val="19"/>
    <w:qFormat/>
    <w:rsid w:val="00A662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re2"/>
    <w:next w:val="ECHRPara"/>
    <w:uiPriority w:val="20"/>
    <w:qFormat/>
    <w:rsid w:val="00A66252"/>
    <w:pPr>
      <w:keepNext/>
      <w:keepLines/>
      <w:tabs>
        <w:tab w:val="left" w:pos="584"/>
      </w:tabs>
      <w:spacing w:before="360" w:after="240"/>
      <w:ind w:left="584" w:hanging="352"/>
    </w:pPr>
    <w:rPr>
      <w:color w:val="auto"/>
      <w:sz w:val="24"/>
    </w:rPr>
  </w:style>
  <w:style w:type="character" w:customStyle="1" w:styleId="Titre2Car">
    <w:name w:val="Titre 2 Car"/>
    <w:basedOn w:val="Policepardfaut"/>
    <w:link w:val="Titre2"/>
    <w:uiPriority w:val="99"/>
    <w:semiHidden/>
    <w:rsid w:val="00A66252"/>
    <w:rPr>
      <w:rFonts w:asciiTheme="majorHAnsi" w:eastAsiaTheme="majorEastAsia" w:hAnsiTheme="majorHAnsi" w:cstheme="majorBidi"/>
      <w:b/>
      <w:bCs/>
      <w:color w:val="4D4D4D"/>
      <w:sz w:val="26"/>
      <w:szCs w:val="26"/>
    </w:rPr>
  </w:style>
  <w:style w:type="character" w:customStyle="1" w:styleId="JUNAMES">
    <w:name w:val="JU_NAMES"/>
    <w:uiPriority w:val="17"/>
    <w:qFormat/>
    <w:rsid w:val="00A66252"/>
    <w:rPr>
      <w:caps w:val="0"/>
      <w:smallCaps/>
    </w:rPr>
  </w:style>
  <w:style w:type="paragraph" w:customStyle="1" w:styleId="ECHRDecisionBody">
    <w:name w:val="ECHR_Decision_Body"/>
    <w:aliases w:val="Ju_Judges"/>
    <w:basedOn w:val="Normal"/>
    <w:uiPriority w:val="11"/>
    <w:qFormat/>
    <w:rsid w:val="00A66252"/>
    <w:pPr>
      <w:tabs>
        <w:tab w:val="left" w:pos="567"/>
        <w:tab w:val="left" w:pos="1134"/>
      </w:tabs>
      <w:jc w:val="left"/>
    </w:pPr>
  </w:style>
  <w:style w:type="character" w:customStyle="1" w:styleId="Titre3Car">
    <w:name w:val="Titre 3 Car"/>
    <w:basedOn w:val="Policepardfaut"/>
    <w:link w:val="Titre3"/>
    <w:uiPriority w:val="99"/>
    <w:semiHidden/>
    <w:rsid w:val="00A66252"/>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A66252"/>
    <w:pPr>
      <w:ind w:firstLine="284"/>
    </w:pPr>
  </w:style>
  <w:style w:type="character" w:customStyle="1" w:styleId="Titre4Car">
    <w:name w:val="Titre 4 Car"/>
    <w:basedOn w:val="Policepardfaut"/>
    <w:link w:val="Titre4"/>
    <w:uiPriority w:val="99"/>
    <w:semiHidden/>
    <w:rsid w:val="00A66252"/>
    <w:rPr>
      <w:rFonts w:asciiTheme="majorHAnsi" w:eastAsiaTheme="majorEastAsia" w:hAnsiTheme="majorHAnsi" w:cstheme="majorBidi"/>
      <w:b/>
      <w:bCs/>
      <w:i/>
      <w:iCs/>
      <w:color w:val="777777"/>
      <w:sz w:val="24"/>
    </w:rPr>
  </w:style>
  <w:style w:type="character" w:customStyle="1" w:styleId="Titre5Car">
    <w:name w:val="Titre 5 Car"/>
    <w:basedOn w:val="Policepardfaut"/>
    <w:link w:val="Titre5"/>
    <w:uiPriority w:val="99"/>
    <w:semiHidden/>
    <w:rsid w:val="00A66252"/>
    <w:rPr>
      <w:rFonts w:asciiTheme="majorHAnsi" w:eastAsiaTheme="majorEastAsia" w:hAnsiTheme="majorHAnsi" w:cstheme="majorBidi"/>
      <w:b/>
      <w:bCs/>
      <w:color w:val="808080"/>
    </w:rPr>
  </w:style>
  <w:style w:type="character" w:styleId="Accentuationdiscrte">
    <w:name w:val="Subtle Emphasis"/>
    <w:uiPriority w:val="99"/>
    <w:semiHidden/>
    <w:qFormat/>
    <w:rsid w:val="00A66252"/>
    <w:rPr>
      <w:i/>
      <w:iCs/>
    </w:rPr>
  </w:style>
  <w:style w:type="table" w:customStyle="1" w:styleId="ECHRTable">
    <w:name w:val="ECHR_Table"/>
    <w:basedOn w:val="Tableau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au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66252"/>
    <w:pPr>
      <w:keepNext/>
      <w:keepLines/>
      <w:spacing w:before="720" w:after="240"/>
      <w:outlineLvl w:val="0"/>
    </w:pPr>
    <w:rPr>
      <w:rFonts w:asciiTheme="majorHAnsi" w:hAnsiTheme="majorHAnsi"/>
      <w:sz w:val="28"/>
    </w:rPr>
  </w:style>
  <w:style w:type="character" w:styleId="Accentuation">
    <w:name w:val="Emphasis"/>
    <w:uiPriority w:val="99"/>
    <w:semiHidden/>
    <w:qFormat/>
    <w:rsid w:val="00A66252"/>
    <w:rPr>
      <w:b/>
      <w:bCs/>
      <w:i/>
      <w:iCs/>
      <w:spacing w:val="10"/>
      <w:bdr w:val="none" w:sz="0" w:space="0" w:color="auto"/>
      <w:shd w:val="clear" w:color="auto" w:fill="auto"/>
    </w:rPr>
  </w:style>
  <w:style w:type="paragraph" w:styleId="Pieddepage">
    <w:name w:val="footer"/>
    <w:basedOn w:val="Normal"/>
    <w:link w:val="PieddepageCar"/>
    <w:uiPriority w:val="57"/>
    <w:semiHidden/>
    <w:rsid w:val="00A66252"/>
    <w:pPr>
      <w:tabs>
        <w:tab w:val="center" w:pos="4536"/>
        <w:tab w:val="right" w:pos="9696"/>
      </w:tabs>
      <w:ind w:left="-680" w:right="-680"/>
    </w:pPr>
    <w:rPr>
      <w:rFonts w:eastAsiaTheme="minorHAnsi"/>
    </w:rPr>
  </w:style>
  <w:style w:type="character" w:customStyle="1" w:styleId="PieddepageCar">
    <w:name w:val="Pied de page Car"/>
    <w:basedOn w:val="Policepardfaut"/>
    <w:link w:val="Pieddepage"/>
    <w:uiPriority w:val="57"/>
    <w:semiHidden/>
    <w:rsid w:val="00A66252"/>
    <w:rPr>
      <w:sz w:val="24"/>
    </w:rPr>
  </w:style>
  <w:style w:type="character" w:styleId="Marquenotebasdepage">
    <w:name w:val="footnote reference"/>
    <w:basedOn w:val="Policepardfaut"/>
    <w:uiPriority w:val="99"/>
    <w:semiHidden/>
    <w:rsid w:val="00A66252"/>
    <w:rPr>
      <w:vertAlign w:val="superscript"/>
    </w:rPr>
  </w:style>
  <w:style w:type="paragraph" w:styleId="Notedebasdepage">
    <w:name w:val="footnote text"/>
    <w:basedOn w:val="Normal"/>
    <w:link w:val="NotedebasdepageCar"/>
    <w:uiPriority w:val="99"/>
    <w:semiHidden/>
    <w:rsid w:val="00A66252"/>
    <w:rPr>
      <w:sz w:val="20"/>
      <w:szCs w:val="20"/>
    </w:rPr>
  </w:style>
  <w:style w:type="character" w:customStyle="1" w:styleId="NotedebasdepageCar">
    <w:name w:val="Note de bas de page Car"/>
    <w:basedOn w:val="Policepardfaut"/>
    <w:link w:val="Notedebasdepage"/>
    <w:uiPriority w:val="99"/>
    <w:semiHidden/>
    <w:rsid w:val="00A66252"/>
    <w:rPr>
      <w:rFonts w:eastAsiaTheme="minorEastAsia"/>
      <w:sz w:val="20"/>
      <w:szCs w:val="20"/>
    </w:rPr>
  </w:style>
  <w:style w:type="character" w:customStyle="1" w:styleId="Titre6Car">
    <w:name w:val="Titre 6 Car"/>
    <w:basedOn w:val="Policepardfaut"/>
    <w:link w:val="Titre6"/>
    <w:uiPriority w:val="99"/>
    <w:semiHidden/>
    <w:rsid w:val="00A66252"/>
    <w:rPr>
      <w:rFonts w:asciiTheme="majorHAnsi" w:eastAsiaTheme="majorEastAsia" w:hAnsiTheme="majorHAnsi" w:cstheme="majorBidi"/>
      <w:b/>
      <w:bCs/>
      <w:i/>
      <w:iCs/>
      <w:color w:val="7F7F7F" w:themeColor="text1" w:themeTint="80"/>
      <w:sz w:val="24"/>
      <w:lang w:bidi="en-US"/>
    </w:rPr>
  </w:style>
  <w:style w:type="character" w:customStyle="1" w:styleId="Titre7Car">
    <w:name w:val="Titre 7 Car"/>
    <w:basedOn w:val="Policepardfaut"/>
    <w:link w:val="Titre7"/>
    <w:uiPriority w:val="99"/>
    <w:semiHidden/>
    <w:rsid w:val="00A66252"/>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A66252"/>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A66252"/>
    <w:rPr>
      <w:rFonts w:asciiTheme="majorHAnsi" w:eastAsiaTheme="majorEastAsia" w:hAnsiTheme="majorHAnsi" w:cstheme="majorBidi"/>
      <w:i/>
      <w:iCs/>
      <w:spacing w:val="5"/>
      <w:sz w:val="20"/>
      <w:szCs w:val="20"/>
      <w:lang w:bidi="en-US"/>
    </w:rPr>
  </w:style>
  <w:style w:type="character" w:styleId="Lienhypertexte">
    <w:name w:val="Hyperlink"/>
    <w:basedOn w:val="Policepardfaut"/>
    <w:uiPriority w:val="99"/>
    <w:semiHidden/>
    <w:rsid w:val="00A66252"/>
    <w:rPr>
      <w:color w:val="0072BC" w:themeColor="hyperlink"/>
      <w:u w:val="single"/>
    </w:rPr>
  </w:style>
  <w:style w:type="character" w:styleId="Forteaccentuation">
    <w:name w:val="Intense Emphasis"/>
    <w:uiPriority w:val="99"/>
    <w:semiHidden/>
    <w:qFormat/>
    <w:rsid w:val="00A66252"/>
    <w:rPr>
      <w:b/>
      <w:bCs/>
    </w:rPr>
  </w:style>
  <w:style w:type="paragraph" w:styleId="Citationintense">
    <w:name w:val="Intense Quote"/>
    <w:basedOn w:val="Normal"/>
    <w:next w:val="Normal"/>
    <w:link w:val="CitationintenseCar"/>
    <w:uiPriority w:val="99"/>
    <w:semiHidden/>
    <w:qFormat/>
    <w:rsid w:val="00A66252"/>
    <w:pPr>
      <w:pBdr>
        <w:bottom w:val="single" w:sz="4" w:space="1" w:color="auto"/>
      </w:pBdr>
      <w:spacing w:before="200" w:after="280"/>
      <w:ind w:left="1008" w:right="1152"/>
    </w:pPr>
    <w:rPr>
      <w:b/>
      <w:bCs/>
      <w:i/>
      <w:iCs/>
      <w:sz w:val="22"/>
      <w:lang w:bidi="en-US"/>
    </w:rPr>
  </w:style>
  <w:style w:type="character" w:customStyle="1" w:styleId="CitationintenseCar">
    <w:name w:val="Citation intense Car"/>
    <w:basedOn w:val="Policepardfaut"/>
    <w:link w:val="Citationintense"/>
    <w:uiPriority w:val="99"/>
    <w:semiHidden/>
    <w:rsid w:val="00A66252"/>
    <w:rPr>
      <w:rFonts w:eastAsiaTheme="minorEastAsia"/>
      <w:b/>
      <w:bCs/>
      <w:i/>
      <w:iCs/>
      <w:lang w:bidi="en-US"/>
    </w:rPr>
  </w:style>
  <w:style w:type="character" w:styleId="Rfrenceintense">
    <w:name w:val="Intense Reference"/>
    <w:uiPriority w:val="99"/>
    <w:semiHidden/>
    <w:qFormat/>
    <w:rsid w:val="00A66252"/>
    <w:rPr>
      <w:smallCaps/>
      <w:spacing w:val="5"/>
      <w:u w:val="single"/>
    </w:rPr>
  </w:style>
  <w:style w:type="paragraph" w:styleId="Paragraphedeliste">
    <w:name w:val="List Paragraph"/>
    <w:basedOn w:val="Normal"/>
    <w:uiPriority w:val="99"/>
    <w:semiHidden/>
    <w:qFormat/>
    <w:rsid w:val="00A66252"/>
    <w:pPr>
      <w:ind w:left="720"/>
      <w:contextualSpacing/>
    </w:pPr>
  </w:style>
  <w:style w:type="table" w:customStyle="1" w:styleId="LtrTableAddress">
    <w:name w:val="Ltr_Table_Address"/>
    <w:basedOn w:val="TableauNormal"/>
    <w:uiPriority w:val="99"/>
    <w:rsid w:val="001E6F32"/>
    <w:tblPr>
      <w:tblInd w:w="5103" w:type="dxa"/>
      <w:tblCellMar>
        <w:top w:w="0" w:type="dxa"/>
        <w:left w:w="108" w:type="dxa"/>
        <w:bottom w:w="0" w:type="dxa"/>
        <w:right w:w="108" w:type="dxa"/>
      </w:tblCellMar>
    </w:tblPr>
  </w:style>
  <w:style w:type="paragraph" w:styleId="Citation">
    <w:name w:val="Quote"/>
    <w:basedOn w:val="Normal"/>
    <w:next w:val="Normal"/>
    <w:link w:val="CitationCar"/>
    <w:uiPriority w:val="99"/>
    <w:semiHidden/>
    <w:qFormat/>
    <w:rsid w:val="00A66252"/>
    <w:pPr>
      <w:spacing w:before="200"/>
      <w:ind w:left="360" w:right="360"/>
    </w:pPr>
    <w:rPr>
      <w:i/>
      <w:iCs/>
      <w:sz w:val="22"/>
      <w:lang w:bidi="en-US"/>
    </w:rPr>
  </w:style>
  <w:style w:type="character" w:customStyle="1" w:styleId="CitationCar">
    <w:name w:val="Citation Car"/>
    <w:basedOn w:val="Policepardfaut"/>
    <w:link w:val="Citation"/>
    <w:uiPriority w:val="99"/>
    <w:semiHidden/>
    <w:rsid w:val="00A66252"/>
    <w:rPr>
      <w:rFonts w:eastAsiaTheme="minorEastAsia"/>
      <w:i/>
      <w:iCs/>
      <w:lang w:bidi="en-US"/>
    </w:rPr>
  </w:style>
  <w:style w:type="character" w:styleId="Rfrenceple">
    <w:name w:val="Subtle Reference"/>
    <w:uiPriority w:val="99"/>
    <w:semiHidden/>
    <w:qFormat/>
    <w:rsid w:val="00A66252"/>
    <w:rPr>
      <w:smallCaps/>
    </w:rPr>
  </w:style>
  <w:style w:type="table" w:styleId="Grille">
    <w:name w:val="Table Grid"/>
    <w:basedOn w:val="TableauNormal"/>
    <w:uiPriority w:val="59"/>
    <w:semiHidden/>
    <w:rsid w:val="00A6625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99"/>
    <w:semiHidden/>
    <w:rsid w:val="00A66252"/>
    <w:pPr>
      <w:keepNext/>
      <w:tabs>
        <w:tab w:val="right" w:leader="dot" w:pos="7371"/>
      </w:tabs>
      <w:spacing w:before="160" w:after="60" w:line="240" w:lineRule="exact"/>
      <w:ind w:left="340" w:right="567" w:hanging="340"/>
    </w:pPr>
    <w:rPr>
      <w:b/>
      <w:sz w:val="22"/>
    </w:rPr>
  </w:style>
  <w:style w:type="paragraph" w:styleId="TM2">
    <w:name w:val="toc 2"/>
    <w:basedOn w:val="Normal"/>
    <w:next w:val="Normal"/>
    <w:autoRedefine/>
    <w:uiPriority w:val="99"/>
    <w:semiHidden/>
    <w:rsid w:val="00A66252"/>
    <w:pPr>
      <w:keepNext/>
      <w:tabs>
        <w:tab w:val="right" w:leader="dot" w:pos="7371"/>
      </w:tabs>
      <w:spacing w:after="60" w:line="240" w:lineRule="exact"/>
      <w:ind w:left="680" w:right="567" w:hanging="340"/>
    </w:pPr>
    <w:rPr>
      <w:sz w:val="22"/>
    </w:rPr>
  </w:style>
  <w:style w:type="paragraph" w:styleId="TM3">
    <w:name w:val="toc 3"/>
    <w:basedOn w:val="Normal"/>
    <w:next w:val="Normal"/>
    <w:autoRedefine/>
    <w:uiPriority w:val="99"/>
    <w:semiHidden/>
    <w:rsid w:val="00A66252"/>
    <w:pPr>
      <w:keepNext/>
      <w:tabs>
        <w:tab w:val="right" w:leader="dot" w:pos="7371"/>
      </w:tabs>
      <w:spacing w:after="60" w:line="240" w:lineRule="exact"/>
      <w:ind w:left="1020" w:right="567" w:hanging="340"/>
    </w:pPr>
    <w:rPr>
      <w:sz w:val="20"/>
    </w:rPr>
  </w:style>
  <w:style w:type="paragraph" w:styleId="TM4">
    <w:name w:val="toc 4"/>
    <w:basedOn w:val="Normal"/>
    <w:next w:val="Normal"/>
    <w:autoRedefine/>
    <w:uiPriority w:val="99"/>
    <w:semiHidden/>
    <w:rsid w:val="00A66252"/>
    <w:pPr>
      <w:tabs>
        <w:tab w:val="right" w:leader="dot" w:pos="7371"/>
      </w:tabs>
      <w:spacing w:after="60" w:line="240" w:lineRule="exact"/>
      <w:ind w:left="1361" w:right="567" w:hanging="340"/>
    </w:pPr>
    <w:rPr>
      <w:sz w:val="20"/>
    </w:rPr>
  </w:style>
  <w:style w:type="paragraph" w:styleId="TM5">
    <w:name w:val="toc 5"/>
    <w:basedOn w:val="Normal"/>
    <w:next w:val="Normal"/>
    <w:autoRedefine/>
    <w:uiPriority w:val="99"/>
    <w:semiHidden/>
    <w:rsid w:val="00A66252"/>
    <w:pPr>
      <w:tabs>
        <w:tab w:val="right" w:leader="dot" w:pos="7371"/>
      </w:tabs>
      <w:spacing w:after="60" w:line="240" w:lineRule="exact"/>
      <w:ind w:left="1701" w:right="567" w:hanging="340"/>
    </w:pPr>
    <w:rPr>
      <w:sz w:val="20"/>
    </w:rPr>
  </w:style>
  <w:style w:type="paragraph" w:styleId="En-ttedetabledesmatires">
    <w:name w:val="TOC Heading"/>
    <w:basedOn w:val="Normal"/>
    <w:next w:val="Normal"/>
    <w:uiPriority w:val="99"/>
    <w:semiHidden/>
    <w:qFormat/>
    <w:rsid w:val="00A6625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au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au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au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au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au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au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redetablederfrences">
    <w:name w:val="toa heading"/>
    <w:basedOn w:val="Normal"/>
    <w:next w:val="Normal"/>
    <w:uiPriority w:val="99"/>
    <w:semiHidden/>
    <w:rsid w:val="00A6625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link w:val="JuQuotChar"/>
    <w:uiPriority w:val="14"/>
    <w:qFormat/>
    <w:rsid w:val="00A66252"/>
    <w:pPr>
      <w:spacing w:before="120" w:after="120"/>
      <w:ind w:left="425" w:firstLine="142"/>
    </w:pPr>
    <w:rPr>
      <w:sz w:val="20"/>
    </w:rPr>
  </w:style>
  <w:style w:type="table" w:customStyle="1" w:styleId="ECHRTableSimpleBox">
    <w:name w:val="ECHR_Table_Simple_Box"/>
    <w:basedOn w:val="Tableau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au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au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auNormal"/>
    <w:uiPriority w:val="99"/>
    <w:rsid w:val="00A66252"/>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au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au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au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A66252"/>
    <w:pPr>
      <w:tabs>
        <w:tab w:val="center" w:pos="851"/>
        <w:tab w:val="center" w:pos="6407"/>
      </w:tabs>
      <w:spacing w:before="720"/>
      <w:jc w:val="left"/>
    </w:pPr>
  </w:style>
  <w:style w:type="paragraph" w:customStyle="1" w:styleId="JuParaLast">
    <w:name w:val="Ju_Para_Last"/>
    <w:basedOn w:val="Normal"/>
    <w:next w:val="ECHRPara"/>
    <w:uiPriority w:val="30"/>
    <w:qFormat/>
    <w:rsid w:val="00A66252"/>
    <w:pPr>
      <w:keepNext/>
      <w:keepLines/>
      <w:spacing w:before="240"/>
      <w:ind w:firstLine="284"/>
    </w:pPr>
  </w:style>
  <w:style w:type="paragraph" w:customStyle="1" w:styleId="JuCase">
    <w:name w:val="Ju_Case"/>
    <w:basedOn w:val="Normal"/>
    <w:next w:val="ECHRPara"/>
    <w:uiPriority w:val="10"/>
    <w:rsid w:val="00A66252"/>
    <w:pPr>
      <w:ind w:firstLine="284"/>
    </w:pPr>
    <w:rPr>
      <w:b/>
    </w:rPr>
  </w:style>
  <w:style w:type="paragraph" w:customStyle="1" w:styleId="JuList">
    <w:name w:val="Ju_List"/>
    <w:basedOn w:val="Normal"/>
    <w:uiPriority w:val="28"/>
    <w:qFormat/>
    <w:rsid w:val="00A66252"/>
    <w:pPr>
      <w:ind w:left="340" w:hanging="340"/>
    </w:pPr>
  </w:style>
  <w:style w:type="paragraph" w:customStyle="1" w:styleId="JuTitle">
    <w:name w:val="Ju_Title"/>
    <w:basedOn w:val="Normal"/>
    <w:next w:val="ECHRPara"/>
    <w:uiPriority w:val="3"/>
    <w:semiHidden/>
    <w:qFormat/>
    <w:rsid w:val="00A66252"/>
    <w:pPr>
      <w:spacing w:before="720" w:after="240"/>
      <w:jc w:val="center"/>
      <w:outlineLvl w:val="0"/>
    </w:pPr>
    <w:rPr>
      <w:rFonts w:asciiTheme="majorHAnsi" w:hAnsiTheme="majorHAnsi"/>
      <w:b/>
      <w:caps/>
    </w:rPr>
  </w:style>
  <w:style w:type="character" w:styleId="Numrodepage">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66252"/>
    <w:pPr>
      <w:ind w:left="346" w:firstLine="0"/>
    </w:pPr>
  </w:style>
  <w:style w:type="paragraph" w:customStyle="1" w:styleId="JuListi">
    <w:name w:val="Ju_List_i"/>
    <w:basedOn w:val="Normal"/>
    <w:next w:val="JuLista"/>
    <w:uiPriority w:val="28"/>
    <w:qFormat/>
    <w:rsid w:val="00A66252"/>
    <w:pPr>
      <w:ind w:left="794"/>
    </w:pPr>
  </w:style>
  <w:style w:type="character" w:styleId="Marquedannotation">
    <w:name w:val="annotation reference"/>
    <w:semiHidden/>
    <w:rsid w:val="00E77CB3"/>
    <w:rPr>
      <w:sz w:val="16"/>
    </w:rPr>
  </w:style>
  <w:style w:type="paragraph" w:styleId="Commentaire">
    <w:name w:val="annotation text"/>
    <w:basedOn w:val="Normal"/>
    <w:link w:val="CommentaireCar"/>
    <w:semiHidden/>
    <w:rsid w:val="00E77CB3"/>
    <w:rPr>
      <w:sz w:val="20"/>
    </w:rPr>
  </w:style>
  <w:style w:type="character" w:customStyle="1" w:styleId="CommentaireCar">
    <w:name w:val="Commentaire Car"/>
    <w:basedOn w:val="Policepardfaut"/>
    <w:link w:val="Commentaire"/>
    <w:semiHidden/>
    <w:rsid w:val="00E77CB3"/>
    <w:rPr>
      <w:rFonts w:eastAsiaTheme="minorEastAsia"/>
      <w:sz w:val="20"/>
    </w:rPr>
  </w:style>
  <w:style w:type="character" w:styleId="Marquedenotedefin">
    <w:name w:val="endnote reference"/>
    <w:uiPriority w:val="99"/>
    <w:semiHidden/>
    <w:rsid w:val="00E77CB3"/>
    <w:rPr>
      <w:rFonts w:ascii="Times New Roman" w:hAnsi="Times New Roman" w:cs="Times New Roman"/>
      <w:vertAlign w:val="superscript"/>
    </w:rPr>
  </w:style>
  <w:style w:type="paragraph" w:styleId="Notedefin">
    <w:name w:val="endnote text"/>
    <w:basedOn w:val="Normal"/>
    <w:link w:val="NotedefinCar"/>
    <w:semiHidden/>
    <w:rsid w:val="00E77CB3"/>
    <w:rPr>
      <w:sz w:val="20"/>
    </w:rPr>
  </w:style>
  <w:style w:type="character" w:customStyle="1" w:styleId="NotedefinCar">
    <w:name w:val="Note de fin Car"/>
    <w:basedOn w:val="Policepardfaut"/>
    <w:link w:val="Notedefin"/>
    <w:uiPriority w:val="99"/>
    <w:semiHidden/>
    <w:rsid w:val="00E77CB3"/>
    <w:rPr>
      <w:rFonts w:eastAsiaTheme="minorEastAsia"/>
      <w:sz w:val="20"/>
    </w:rPr>
  </w:style>
  <w:style w:type="character" w:styleId="Lienhypertextesuivi">
    <w:name w:val="FollowedHyperlink"/>
    <w:uiPriority w:val="99"/>
    <w:semiHidden/>
    <w:rsid w:val="00E77CB3"/>
    <w:rPr>
      <w:rFonts w:ascii="Times New Roman" w:hAnsi="Times New Roman" w:cs="Times New Roman"/>
      <w:color w:val="800080"/>
      <w:u w:val="single"/>
    </w:rPr>
  </w:style>
  <w:style w:type="paragraph" w:styleId="Listepuces">
    <w:name w:val="List Bullet"/>
    <w:basedOn w:val="Normal"/>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Objetducommentaire">
    <w:name w:val="annotation subject"/>
    <w:basedOn w:val="Commentaire"/>
    <w:next w:val="Commentaire"/>
    <w:link w:val="ObjetducommentaireCar"/>
    <w:uiPriority w:val="99"/>
    <w:semiHidden/>
    <w:rsid w:val="00E77CB3"/>
    <w:rPr>
      <w:b/>
      <w:bCs/>
    </w:rPr>
  </w:style>
  <w:style w:type="character" w:customStyle="1" w:styleId="ObjetducommentaireCar">
    <w:name w:val="Objet du commentaire Car"/>
    <w:basedOn w:val="CommentaireCar"/>
    <w:link w:val="Objetducommentaire"/>
    <w:uiPriority w:val="99"/>
    <w:semiHidden/>
    <w:rsid w:val="00E77CB3"/>
    <w:rPr>
      <w:rFonts w:eastAsiaTheme="minorEastAsia"/>
      <w:b/>
      <w:bCs/>
      <w:sz w:val="20"/>
    </w:rPr>
  </w:style>
  <w:style w:type="paragraph" w:styleId="Explorateurdedocument">
    <w:name w:val="Document Map"/>
    <w:basedOn w:val="Normal"/>
    <w:link w:val="ExplorateurdedocumentCar"/>
    <w:uiPriority w:val="99"/>
    <w:semiHidden/>
    <w:rsid w:val="00E77CB3"/>
    <w:pPr>
      <w:shd w:val="clear" w:color="auto" w:fill="000080"/>
    </w:pPr>
    <w:rPr>
      <w:rFonts w:ascii="Tahoma" w:hAnsi="Tahoma" w:cs="Tahoma"/>
      <w:sz w:val="20"/>
    </w:rPr>
  </w:style>
  <w:style w:type="character" w:customStyle="1" w:styleId="ExplorateurdedocumentCar">
    <w:name w:val="Explorateur de document Car"/>
    <w:basedOn w:val="Policepardfaut"/>
    <w:link w:val="Explorateurdedocument"/>
    <w:uiPriority w:val="99"/>
    <w:semiHidden/>
    <w:rsid w:val="00E77CB3"/>
    <w:rPr>
      <w:rFonts w:ascii="Tahoma" w:eastAsiaTheme="minorEastAsia" w:hAnsi="Tahoma" w:cs="Tahoma"/>
      <w:sz w:val="20"/>
      <w:shd w:val="clear" w:color="auto" w:fill="000080"/>
    </w:rPr>
  </w:style>
  <w:style w:type="paragraph" w:customStyle="1" w:styleId="OpiH1">
    <w:name w:val="Opi_H_1"/>
    <w:basedOn w:val="ECHRHeading2"/>
    <w:uiPriority w:val="42"/>
    <w:qFormat/>
    <w:rsid w:val="00A66252"/>
    <w:pPr>
      <w:ind w:left="635" w:hanging="357"/>
      <w:outlineLvl w:val="2"/>
    </w:pPr>
  </w:style>
  <w:style w:type="paragraph" w:styleId="Sous-titre">
    <w:name w:val="Subtitle"/>
    <w:basedOn w:val="Normal"/>
    <w:next w:val="Normal"/>
    <w:link w:val="Sous-titreCar"/>
    <w:uiPriority w:val="99"/>
    <w:semiHidden/>
    <w:qFormat/>
    <w:rsid w:val="00A66252"/>
    <w:pPr>
      <w:spacing w:after="600"/>
    </w:pPr>
    <w:rPr>
      <w:rFonts w:asciiTheme="majorHAnsi" w:eastAsiaTheme="majorEastAsia" w:hAnsiTheme="majorHAnsi" w:cstheme="majorBidi"/>
      <w:i/>
      <w:iCs/>
      <w:spacing w:val="13"/>
      <w:szCs w:val="24"/>
      <w:lang w:bidi="en-US"/>
    </w:rPr>
  </w:style>
  <w:style w:type="character" w:customStyle="1" w:styleId="Sous-titreCar">
    <w:name w:val="Sous-titre Car"/>
    <w:basedOn w:val="Policepardfaut"/>
    <w:link w:val="Sous-titre"/>
    <w:uiPriority w:val="99"/>
    <w:semiHidden/>
    <w:rsid w:val="00A66252"/>
    <w:rPr>
      <w:rFonts w:asciiTheme="majorHAnsi" w:eastAsiaTheme="majorEastAsia" w:hAnsiTheme="majorHAnsi" w:cstheme="majorBidi"/>
      <w:i/>
      <w:iCs/>
      <w:spacing w:val="13"/>
      <w:sz w:val="24"/>
      <w:szCs w:val="24"/>
      <w:lang w:bidi="en-US"/>
    </w:rPr>
  </w:style>
  <w:style w:type="numbering" w:styleId="111111">
    <w:name w:val="Outline List 2"/>
    <w:basedOn w:val="Aucuneliste"/>
    <w:uiPriority w:val="99"/>
    <w:semiHidden/>
    <w:rsid w:val="00E77CB3"/>
    <w:pPr>
      <w:numPr>
        <w:numId w:val="2"/>
      </w:numPr>
    </w:pPr>
  </w:style>
  <w:style w:type="numbering" w:styleId="1ai">
    <w:name w:val="Outline List 1"/>
    <w:basedOn w:val="Aucuneliste"/>
    <w:uiPriority w:val="99"/>
    <w:semiHidden/>
    <w:rsid w:val="00E77CB3"/>
    <w:pPr>
      <w:numPr>
        <w:numId w:val="3"/>
      </w:numPr>
    </w:pPr>
  </w:style>
  <w:style w:type="numbering" w:styleId="ArticleSection">
    <w:name w:val="Outline List 3"/>
    <w:basedOn w:val="Aucuneliste"/>
    <w:uiPriority w:val="99"/>
    <w:semiHidden/>
    <w:rsid w:val="00E77CB3"/>
    <w:pPr>
      <w:numPr>
        <w:numId w:val="4"/>
      </w:numPr>
    </w:pPr>
  </w:style>
  <w:style w:type="paragraph" w:styleId="Bibliographie">
    <w:name w:val="Bibliography"/>
    <w:basedOn w:val="Normal"/>
    <w:next w:val="Normal"/>
    <w:uiPriority w:val="99"/>
    <w:semiHidden/>
    <w:unhideWhenUsed/>
    <w:rsid w:val="00E77CB3"/>
  </w:style>
  <w:style w:type="paragraph" w:styleId="Normalcentr">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sdetexte">
    <w:name w:val="Body Text"/>
    <w:basedOn w:val="Normal"/>
    <w:link w:val="CorpsdetexteCar"/>
    <w:uiPriority w:val="99"/>
    <w:semiHidden/>
    <w:rsid w:val="00E77CB3"/>
    <w:pPr>
      <w:spacing w:after="120"/>
    </w:pPr>
  </w:style>
  <w:style w:type="character" w:customStyle="1" w:styleId="CorpsdetexteCar">
    <w:name w:val="Corps de texte Car"/>
    <w:basedOn w:val="Policepardfaut"/>
    <w:link w:val="Corpsdetexte"/>
    <w:uiPriority w:val="99"/>
    <w:semiHidden/>
    <w:rsid w:val="00E77CB3"/>
    <w:rPr>
      <w:rFonts w:eastAsiaTheme="minorEastAsia"/>
      <w:sz w:val="24"/>
    </w:rPr>
  </w:style>
  <w:style w:type="paragraph" w:styleId="Corpsdetexte2">
    <w:name w:val="Body Text 2"/>
    <w:basedOn w:val="Normal"/>
    <w:link w:val="Corpsdetexte2Car"/>
    <w:uiPriority w:val="99"/>
    <w:semiHidden/>
    <w:rsid w:val="00E77CB3"/>
    <w:pPr>
      <w:spacing w:after="120" w:line="480" w:lineRule="auto"/>
    </w:pPr>
  </w:style>
  <w:style w:type="character" w:customStyle="1" w:styleId="Corpsdetexte2Car">
    <w:name w:val="Corps de texte 2 Car"/>
    <w:basedOn w:val="Policepardfaut"/>
    <w:link w:val="Corpsdetexte2"/>
    <w:uiPriority w:val="99"/>
    <w:semiHidden/>
    <w:rsid w:val="00E77CB3"/>
    <w:rPr>
      <w:rFonts w:eastAsiaTheme="minorEastAsia"/>
      <w:sz w:val="24"/>
    </w:rPr>
  </w:style>
  <w:style w:type="paragraph" w:styleId="Corpsdetexte3">
    <w:name w:val="Body Text 3"/>
    <w:basedOn w:val="Normal"/>
    <w:link w:val="Corpsdetexte3Car"/>
    <w:uiPriority w:val="99"/>
    <w:semiHidden/>
    <w:rsid w:val="00E77CB3"/>
    <w:pPr>
      <w:spacing w:after="120"/>
    </w:pPr>
    <w:rPr>
      <w:sz w:val="16"/>
      <w:szCs w:val="16"/>
    </w:rPr>
  </w:style>
  <w:style w:type="character" w:customStyle="1" w:styleId="Corpsdetexte3Car">
    <w:name w:val="Corps de texte 3 Car"/>
    <w:basedOn w:val="Policepardfaut"/>
    <w:link w:val="Corpsdetexte3"/>
    <w:uiPriority w:val="99"/>
    <w:semiHidden/>
    <w:rsid w:val="00E77CB3"/>
    <w:rPr>
      <w:rFonts w:eastAsiaTheme="minorEastAsia"/>
      <w:sz w:val="16"/>
      <w:szCs w:val="16"/>
    </w:rPr>
  </w:style>
  <w:style w:type="paragraph" w:styleId="Retrait1religne">
    <w:name w:val="Body Text First Indent"/>
    <w:basedOn w:val="Corpsdetexte"/>
    <w:link w:val="Retrait1religneCar"/>
    <w:uiPriority w:val="99"/>
    <w:semiHidden/>
    <w:rsid w:val="00E77CB3"/>
    <w:pPr>
      <w:spacing w:after="0"/>
      <w:ind w:firstLine="360"/>
    </w:pPr>
  </w:style>
  <w:style w:type="character" w:customStyle="1" w:styleId="Retrait1religneCar">
    <w:name w:val="Retrait 1ère ligne Car"/>
    <w:basedOn w:val="CorpsdetexteCar"/>
    <w:link w:val="Retrait1religne"/>
    <w:uiPriority w:val="99"/>
    <w:semiHidden/>
    <w:rsid w:val="00E77CB3"/>
    <w:rPr>
      <w:rFonts w:eastAsiaTheme="minorEastAsia"/>
      <w:sz w:val="24"/>
    </w:rPr>
  </w:style>
  <w:style w:type="paragraph" w:styleId="Retraitcorpsdetexte">
    <w:name w:val="Body Text Indent"/>
    <w:basedOn w:val="Normal"/>
    <w:link w:val="RetraitcorpsdetexteCar"/>
    <w:uiPriority w:val="99"/>
    <w:semiHidden/>
    <w:rsid w:val="00E77CB3"/>
    <w:pPr>
      <w:spacing w:after="120"/>
      <w:ind w:left="283"/>
    </w:pPr>
  </w:style>
  <w:style w:type="character" w:customStyle="1" w:styleId="RetraitcorpsdetexteCar">
    <w:name w:val="Retrait corps de texte Car"/>
    <w:basedOn w:val="Policepardfaut"/>
    <w:link w:val="Retraitcorpsdetexte"/>
    <w:uiPriority w:val="99"/>
    <w:semiHidden/>
    <w:rsid w:val="00E77CB3"/>
    <w:rPr>
      <w:rFonts w:eastAsiaTheme="minorEastAsia"/>
      <w:sz w:val="24"/>
    </w:rPr>
  </w:style>
  <w:style w:type="paragraph" w:styleId="Retraitcorpset1relig">
    <w:name w:val="Body Text First Indent 2"/>
    <w:basedOn w:val="Retraitcorpsdetexte"/>
    <w:link w:val="Retraitcorpset1religCar"/>
    <w:uiPriority w:val="99"/>
    <w:semiHidden/>
    <w:rsid w:val="00E77CB3"/>
    <w:pPr>
      <w:spacing w:after="0"/>
      <w:ind w:left="360" w:firstLine="360"/>
    </w:pPr>
  </w:style>
  <w:style w:type="character" w:customStyle="1" w:styleId="Retraitcorpset1religCar">
    <w:name w:val="Retrait corps et 1ère lig. Car"/>
    <w:basedOn w:val="RetraitcorpsdetexteCar"/>
    <w:link w:val="Retraitcorpset1relig"/>
    <w:uiPriority w:val="99"/>
    <w:semiHidden/>
    <w:rsid w:val="00E77CB3"/>
    <w:rPr>
      <w:rFonts w:eastAsiaTheme="minorEastAsia"/>
      <w:sz w:val="24"/>
    </w:rPr>
  </w:style>
  <w:style w:type="paragraph" w:styleId="Retraitcorpsdetexte2">
    <w:name w:val="Body Text Indent 2"/>
    <w:basedOn w:val="Normal"/>
    <w:link w:val="Retraitcorpsdetexte2Car"/>
    <w:uiPriority w:val="99"/>
    <w:semiHidden/>
    <w:rsid w:val="00E77CB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77CB3"/>
    <w:rPr>
      <w:rFonts w:eastAsiaTheme="minorEastAsia"/>
      <w:sz w:val="24"/>
    </w:rPr>
  </w:style>
  <w:style w:type="paragraph" w:styleId="Retraitcorpsdetexte3">
    <w:name w:val="Body Text Indent 3"/>
    <w:basedOn w:val="Normal"/>
    <w:link w:val="Retraitcorpsdetexte3Car"/>
    <w:uiPriority w:val="99"/>
    <w:semiHidden/>
    <w:rsid w:val="00E77CB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77CB3"/>
    <w:rPr>
      <w:rFonts w:eastAsiaTheme="minorEastAsia"/>
      <w:sz w:val="16"/>
      <w:szCs w:val="16"/>
    </w:rPr>
  </w:style>
  <w:style w:type="paragraph" w:styleId="Lgende">
    <w:name w:val="caption"/>
    <w:basedOn w:val="Normal"/>
    <w:next w:val="Normal"/>
    <w:uiPriority w:val="99"/>
    <w:semiHidden/>
    <w:qFormat/>
    <w:rsid w:val="00E77CB3"/>
    <w:pPr>
      <w:spacing w:after="200"/>
    </w:pPr>
    <w:rPr>
      <w:b/>
      <w:bCs/>
      <w:color w:val="0072BC" w:themeColor="accent1"/>
      <w:sz w:val="18"/>
      <w:szCs w:val="18"/>
    </w:rPr>
  </w:style>
  <w:style w:type="paragraph" w:styleId="Formulepolitesse">
    <w:name w:val="Closing"/>
    <w:basedOn w:val="Normal"/>
    <w:link w:val="FormulepolitesseCar"/>
    <w:uiPriority w:val="99"/>
    <w:semiHidden/>
    <w:rsid w:val="00E77CB3"/>
    <w:pPr>
      <w:ind w:left="4252"/>
    </w:pPr>
  </w:style>
  <w:style w:type="character" w:customStyle="1" w:styleId="FormulepolitesseCar">
    <w:name w:val="Formule politesse Car"/>
    <w:basedOn w:val="Policepardfaut"/>
    <w:link w:val="Formulepolitesse"/>
    <w:uiPriority w:val="99"/>
    <w:semiHidden/>
    <w:rsid w:val="00E77CB3"/>
    <w:rPr>
      <w:rFonts w:eastAsiaTheme="minorEastAsia"/>
      <w:sz w:val="24"/>
    </w:rPr>
  </w:style>
  <w:style w:type="table" w:styleId="Grillecouleur">
    <w:name w:val="Colorful Grid"/>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E77CB3"/>
  </w:style>
  <w:style w:type="character" w:customStyle="1" w:styleId="DateCar">
    <w:name w:val="Date Car"/>
    <w:basedOn w:val="Policepardfaut"/>
    <w:link w:val="Date"/>
    <w:uiPriority w:val="99"/>
    <w:semiHidden/>
    <w:rsid w:val="00E77CB3"/>
    <w:rPr>
      <w:rFonts w:eastAsiaTheme="minorEastAsia"/>
      <w:sz w:val="24"/>
    </w:rPr>
  </w:style>
  <w:style w:type="paragraph" w:styleId="Signaturelectronique">
    <w:name w:val="E-mail Signature"/>
    <w:basedOn w:val="Normal"/>
    <w:link w:val="SignaturelectroniqueCar"/>
    <w:uiPriority w:val="99"/>
    <w:semiHidden/>
    <w:rsid w:val="00E77CB3"/>
  </w:style>
  <w:style w:type="character" w:customStyle="1" w:styleId="SignaturelectroniqueCar">
    <w:name w:val="Signature électronique Car"/>
    <w:basedOn w:val="Policepardfaut"/>
    <w:link w:val="Signaturelectronique"/>
    <w:uiPriority w:val="99"/>
    <w:semiHidden/>
    <w:rsid w:val="00E77CB3"/>
    <w:rPr>
      <w:rFonts w:eastAsiaTheme="minorEastAsia"/>
      <w:sz w:val="24"/>
    </w:rPr>
  </w:style>
  <w:style w:type="paragraph" w:styleId="Adressedestinataire">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seexpditeur">
    <w:name w:val="envelope return"/>
    <w:basedOn w:val="Normal"/>
    <w:uiPriority w:val="99"/>
    <w:semiHidden/>
    <w:rsid w:val="00E77CB3"/>
    <w:rPr>
      <w:rFonts w:asciiTheme="majorHAnsi" w:eastAsiaTheme="majorEastAsia" w:hAnsiTheme="majorHAnsi" w:cstheme="majorBidi"/>
      <w:sz w:val="20"/>
      <w:szCs w:val="20"/>
    </w:rPr>
  </w:style>
  <w:style w:type="character" w:styleId="AcronymeHTML">
    <w:name w:val="HTML Acronym"/>
    <w:basedOn w:val="Policepardfaut"/>
    <w:uiPriority w:val="99"/>
    <w:semiHidden/>
    <w:rsid w:val="00E77CB3"/>
  </w:style>
  <w:style w:type="paragraph" w:styleId="AdresseHTML">
    <w:name w:val="HTML Address"/>
    <w:basedOn w:val="Normal"/>
    <w:link w:val="AdresseHTMLCar"/>
    <w:uiPriority w:val="99"/>
    <w:semiHidden/>
    <w:rsid w:val="00E77CB3"/>
    <w:rPr>
      <w:i/>
      <w:iCs/>
    </w:rPr>
  </w:style>
  <w:style w:type="character" w:customStyle="1" w:styleId="AdresseHTMLCar">
    <w:name w:val="Adresse HTML Car"/>
    <w:basedOn w:val="Policepardfaut"/>
    <w:link w:val="AdresseHTML"/>
    <w:uiPriority w:val="99"/>
    <w:semiHidden/>
    <w:rsid w:val="00E77CB3"/>
    <w:rPr>
      <w:rFonts w:eastAsiaTheme="minorEastAsia"/>
      <w:i/>
      <w:iCs/>
      <w:sz w:val="24"/>
    </w:rPr>
  </w:style>
  <w:style w:type="character" w:styleId="SiteHTML">
    <w:name w:val="HTML Cite"/>
    <w:basedOn w:val="Policepardfaut"/>
    <w:uiPriority w:val="99"/>
    <w:semiHidden/>
    <w:rsid w:val="00E77CB3"/>
    <w:rPr>
      <w:i/>
      <w:iCs/>
    </w:rPr>
  </w:style>
  <w:style w:type="character" w:styleId="CodeHTML">
    <w:name w:val="HTML Code"/>
    <w:basedOn w:val="Policepardfaut"/>
    <w:uiPriority w:val="99"/>
    <w:semiHidden/>
    <w:rsid w:val="00E77CB3"/>
    <w:rPr>
      <w:rFonts w:ascii="Consolas" w:hAnsi="Consolas" w:cs="Consolas"/>
      <w:sz w:val="20"/>
      <w:szCs w:val="20"/>
    </w:rPr>
  </w:style>
  <w:style w:type="character" w:styleId="DfinitionHTML">
    <w:name w:val="HTML Definition"/>
    <w:basedOn w:val="Policepardfaut"/>
    <w:uiPriority w:val="99"/>
    <w:semiHidden/>
    <w:rsid w:val="00E77CB3"/>
    <w:rPr>
      <w:i/>
      <w:iCs/>
    </w:rPr>
  </w:style>
  <w:style w:type="character" w:styleId="ClavierHTML">
    <w:name w:val="HTML Keyboard"/>
    <w:basedOn w:val="Policepardfaut"/>
    <w:uiPriority w:val="99"/>
    <w:semiHidden/>
    <w:rsid w:val="00E77CB3"/>
    <w:rPr>
      <w:rFonts w:ascii="Consolas" w:hAnsi="Consolas" w:cs="Consolas"/>
      <w:sz w:val="20"/>
      <w:szCs w:val="20"/>
    </w:rPr>
  </w:style>
  <w:style w:type="paragraph" w:styleId="HTMLprformat">
    <w:name w:val="HTML Preformatted"/>
    <w:basedOn w:val="Normal"/>
    <w:link w:val="HTMLprformatCar"/>
    <w:uiPriority w:val="99"/>
    <w:semiHidden/>
    <w:rsid w:val="00E77CB3"/>
    <w:rPr>
      <w:rFonts w:ascii="Consolas" w:hAnsi="Consolas" w:cs="Consolas"/>
      <w:sz w:val="20"/>
      <w:szCs w:val="20"/>
    </w:rPr>
  </w:style>
  <w:style w:type="character" w:customStyle="1" w:styleId="HTMLprformatCar">
    <w:name w:val="HTML préformaté Car"/>
    <w:basedOn w:val="Policepardfaut"/>
    <w:link w:val="HTMLprformat"/>
    <w:uiPriority w:val="99"/>
    <w:semiHidden/>
    <w:rsid w:val="00E77CB3"/>
    <w:rPr>
      <w:rFonts w:ascii="Consolas" w:eastAsiaTheme="minorEastAsia" w:hAnsi="Consolas" w:cs="Consolas"/>
      <w:sz w:val="20"/>
      <w:szCs w:val="20"/>
    </w:rPr>
  </w:style>
  <w:style w:type="character" w:styleId="ExempleHTML">
    <w:name w:val="HTML Sample"/>
    <w:basedOn w:val="Policepardfaut"/>
    <w:uiPriority w:val="99"/>
    <w:semiHidden/>
    <w:rsid w:val="00E77CB3"/>
    <w:rPr>
      <w:rFonts w:ascii="Consolas" w:hAnsi="Consolas" w:cs="Consolas"/>
      <w:sz w:val="24"/>
      <w:szCs w:val="24"/>
    </w:rPr>
  </w:style>
  <w:style w:type="character" w:styleId="MachinecrireHTML">
    <w:name w:val="HTML Typewriter"/>
    <w:basedOn w:val="Policepardfaut"/>
    <w:uiPriority w:val="99"/>
    <w:semiHidden/>
    <w:rsid w:val="00E77CB3"/>
    <w:rPr>
      <w:rFonts w:ascii="Consolas" w:hAnsi="Consolas" w:cs="Consolas"/>
      <w:sz w:val="20"/>
      <w:szCs w:val="20"/>
    </w:rPr>
  </w:style>
  <w:style w:type="character" w:styleId="VariableHTML">
    <w:name w:val="HTML Variable"/>
    <w:basedOn w:val="Policepardfau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Titreindex">
    <w:name w:val="index heading"/>
    <w:basedOn w:val="Normal"/>
    <w:next w:val="Index1"/>
    <w:uiPriority w:val="99"/>
    <w:semiHidden/>
    <w:rsid w:val="00E77CB3"/>
    <w:rPr>
      <w:rFonts w:asciiTheme="majorHAnsi" w:eastAsiaTheme="majorEastAsia" w:hAnsiTheme="majorHAnsi" w:cstheme="majorBidi"/>
      <w:b/>
      <w:bCs/>
    </w:rPr>
  </w:style>
  <w:style w:type="table" w:styleId="Grilleclaire">
    <w:name w:val="Light Grid"/>
    <w:basedOn w:val="Tableau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E77CB3"/>
  </w:style>
  <w:style w:type="paragraph" w:styleId="Liste">
    <w:name w:val="List"/>
    <w:basedOn w:val="Normal"/>
    <w:uiPriority w:val="99"/>
    <w:semiHidden/>
    <w:rsid w:val="00E77CB3"/>
    <w:pPr>
      <w:ind w:left="283" w:hanging="283"/>
      <w:contextualSpacing/>
    </w:pPr>
  </w:style>
  <w:style w:type="paragraph" w:styleId="Liste2">
    <w:name w:val="List 2"/>
    <w:basedOn w:val="Normal"/>
    <w:uiPriority w:val="99"/>
    <w:semiHidden/>
    <w:rsid w:val="00E77CB3"/>
    <w:pPr>
      <w:ind w:left="566" w:hanging="283"/>
      <w:contextualSpacing/>
    </w:pPr>
  </w:style>
  <w:style w:type="paragraph" w:styleId="Liste3">
    <w:name w:val="List 3"/>
    <w:basedOn w:val="Normal"/>
    <w:uiPriority w:val="99"/>
    <w:semiHidden/>
    <w:rsid w:val="00E77CB3"/>
    <w:pPr>
      <w:ind w:left="849" w:hanging="283"/>
      <w:contextualSpacing/>
    </w:pPr>
  </w:style>
  <w:style w:type="paragraph" w:styleId="Liste4">
    <w:name w:val="List 4"/>
    <w:basedOn w:val="Normal"/>
    <w:uiPriority w:val="99"/>
    <w:semiHidden/>
    <w:rsid w:val="00E77CB3"/>
    <w:pPr>
      <w:ind w:left="1132" w:hanging="283"/>
      <w:contextualSpacing/>
    </w:pPr>
  </w:style>
  <w:style w:type="paragraph" w:styleId="Liste5">
    <w:name w:val="List 5"/>
    <w:basedOn w:val="Normal"/>
    <w:uiPriority w:val="99"/>
    <w:semiHidden/>
    <w:rsid w:val="00E77CB3"/>
    <w:pPr>
      <w:ind w:left="1415" w:hanging="283"/>
      <w:contextualSpacing/>
    </w:pPr>
  </w:style>
  <w:style w:type="paragraph" w:styleId="Listepuces2">
    <w:name w:val="List Bullet 2"/>
    <w:basedOn w:val="Normal"/>
    <w:uiPriority w:val="99"/>
    <w:semiHidden/>
    <w:rsid w:val="00E77CB3"/>
    <w:pPr>
      <w:numPr>
        <w:numId w:val="5"/>
      </w:numPr>
      <w:contextualSpacing/>
    </w:pPr>
  </w:style>
  <w:style w:type="paragraph" w:styleId="Listepuces3">
    <w:name w:val="List Bullet 3"/>
    <w:basedOn w:val="Normal"/>
    <w:uiPriority w:val="99"/>
    <w:semiHidden/>
    <w:rsid w:val="00E77CB3"/>
    <w:pPr>
      <w:numPr>
        <w:numId w:val="6"/>
      </w:numPr>
      <w:contextualSpacing/>
    </w:pPr>
  </w:style>
  <w:style w:type="paragraph" w:styleId="Listepuces4">
    <w:name w:val="List Bullet 4"/>
    <w:basedOn w:val="Normal"/>
    <w:uiPriority w:val="99"/>
    <w:semiHidden/>
    <w:rsid w:val="00E77CB3"/>
    <w:pPr>
      <w:numPr>
        <w:numId w:val="7"/>
      </w:numPr>
      <w:contextualSpacing/>
    </w:pPr>
  </w:style>
  <w:style w:type="paragraph" w:styleId="Listepuces5">
    <w:name w:val="List Bullet 5"/>
    <w:basedOn w:val="Normal"/>
    <w:uiPriority w:val="99"/>
    <w:semiHidden/>
    <w:rsid w:val="00E77CB3"/>
    <w:pPr>
      <w:numPr>
        <w:numId w:val="8"/>
      </w:numPr>
      <w:contextualSpacing/>
    </w:pPr>
  </w:style>
  <w:style w:type="paragraph" w:styleId="Listecontinue">
    <w:name w:val="List Continue"/>
    <w:basedOn w:val="Normal"/>
    <w:uiPriority w:val="99"/>
    <w:semiHidden/>
    <w:rsid w:val="00E77CB3"/>
    <w:pPr>
      <w:spacing w:after="120"/>
      <w:ind w:left="283"/>
      <w:contextualSpacing/>
    </w:pPr>
  </w:style>
  <w:style w:type="paragraph" w:styleId="Listecontinue2">
    <w:name w:val="List Continue 2"/>
    <w:basedOn w:val="Normal"/>
    <w:uiPriority w:val="99"/>
    <w:semiHidden/>
    <w:rsid w:val="00E77CB3"/>
    <w:pPr>
      <w:spacing w:after="120"/>
      <w:ind w:left="566"/>
      <w:contextualSpacing/>
    </w:pPr>
  </w:style>
  <w:style w:type="paragraph" w:styleId="Listecontinue3">
    <w:name w:val="List Continue 3"/>
    <w:basedOn w:val="Normal"/>
    <w:uiPriority w:val="99"/>
    <w:semiHidden/>
    <w:rsid w:val="00E77CB3"/>
    <w:pPr>
      <w:spacing w:after="120"/>
      <w:ind w:left="849"/>
      <w:contextualSpacing/>
    </w:pPr>
  </w:style>
  <w:style w:type="paragraph" w:styleId="Listecontinue4">
    <w:name w:val="List Continue 4"/>
    <w:basedOn w:val="Normal"/>
    <w:uiPriority w:val="99"/>
    <w:semiHidden/>
    <w:rsid w:val="00E77CB3"/>
    <w:pPr>
      <w:spacing w:after="120"/>
      <w:ind w:left="1132"/>
      <w:contextualSpacing/>
    </w:pPr>
  </w:style>
  <w:style w:type="paragraph" w:styleId="Listecontinue5">
    <w:name w:val="List Continue 5"/>
    <w:basedOn w:val="Normal"/>
    <w:uiPriority w:val="99"/>
    <w:semiHidden/>
    <w:rsid w:val="00E77CB3"/>
    <w:pPr>
      <w:spacing w:after="120"/>
      <w:ind w:left="1415"/>
      <w:contextualSpacing/>
    </w:pPr>
  </w:style>
  <w:style w:type="paragraph" w:styleId="Listenumros">
    <w:name w:val="List Number"/>
    <w:basedOn w:val="Normal"/>
    <w:uiPriority w:val="99"/>
    <w:semiHidden/>
    <w:rsid w:val="00E77CB3"/>
    <w:pPr>
      <w:numPr>
        <w:numId w:val="9"/>
      </w:numPr>
      <w:contextualSpacing/>
    </w:pPr>
  </w:style>
  <w:style w:type="paragraph" w:styleId="Listenumros2">
    <w:name w:val="List Number 2"/>
    <w:basedOn w:val="Normal"/>
    <w:uiPriority w:val="99"/>
    <w:semiHidden/>
    <w:rsid w:val="00E77CB3"/>
    <w:pPr>
      <w:numPr>
        <w:numId w:val="10"/>
      </w:numPr>
      <w:contextualSpacing/>
    </w:pPr>
  </w:style>
  <w:style w:type="paragraph" w:styleId="Listenumros3">
    <w:name w:val="List Number 3"/>
    <w:basedOn w:val="Normal"/>
    <w:uiPriority w:val="99"/>
    <w:semiHidden/>
    <w:rsid w:val="00E77CB3"/>
    <w:pPr>
      <w:numPr>
        <w:numId w:val="11"/>
      </w:numPr>
      <w:contextualSpacing/>
    </w:pPr>
  </w:style>
  <w:style w:type="paragraph" w:styleId="Listenumros4">
    <w:name w:val="List Number 4"/>
    <w:basedOn w:val="Normal"/>
    <w:uiPriority w:val="99"/>
    <w:semiHidden/>
    <w:rsid w:val="00E77CB3"/>
    <w:pPr>
      <w:numPr>
        <w:numId w:val="12"/>
      </w:numPr>
      <w:contextualSpacing/>
    </w:pPr>
  </w:style>
  <w:style w:type="paragraph" w:styleId="Listenumros5">
    <w:name w:val="List Number 5"/>
    <w:basedOn w:val="Normal"/>
    <w:uiPriority w:val="99"/>
    <w:semiHidden/>
    <w:rsid w:val="00E77CB3"/>
    <w:pPr>
      <w:numPr>
        <w:numId w:val="13"/>
      </w:numPr>
      <w:contextualSpacing/>
    </w:pPr>
  </w:style>
  <w:style w:type="paragraph" w:styleId="Textedemacro">
    <w:name w:val="macro"/>
    <w:link w:val="TextedemacroC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xtedemacroCar">
    <w:name w:val="Texte de macro Car"/>
    <w:basedOn w:val="Policepardfaut"/>
    <w:link w:val="Textedemacro"/>
    <w:uiPriority w:val="99"/>
    <w:semiHidden/>
    <w:rsid w:val="00E77CB3"/>
    <w:rPr>
      <w:rFonts w:ascii="Consolas" w:eastAsiaTheme="minorEastAsia" w:hAnsi="Consolas" w:cs="Consolas"/>
      <w:sz w:val="20"/>
      <w:szCs w:val="20"/>
    </w:rPr>
  </w:style>
  <w:style w:type="table" w:styleId="Grillemoyenne1">
    <w:name w:val="Medium Grid 1"/>
    <w:basedOn w:val="Tableau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Retraitnormal">
    <w:name w:val="Normal Indent"/>
    <w:basedOn w:val="Normal"/>
    <w:uiPriority w:val="99"/>
    <w:semiHidden/>
    <w:rsid w:val="00E77CB3"/>
    <w:pPr>
      <w:ind w:left="720"/>
    </w:pPr>
  </w:style>
  <w:style w:type="paragraph" w:styleId="Titredenote">
    <w:name w:val="Note Heading"/>
    <w:basedOn w:val="Normal"/>
    <w:next w:val="Normal"/>
    <w:link w:val="TitredenoteCar"/>
    <w:uiPriority w:val="99"/>
    <w:semiHidden/>
    <w:rsid w:val="00E77CB3"/>
  </w:style>
  <w:style w:type="character" w:customStyle="1" w:styleId="TitredenoteCar">
    <w:name w:val="Titre de note Car"/>
    <w:basedOn w:val="Policepardfaut"/>
    <w:link w:val="Titredenote"/>
    <w:uiPriority w:val="99"/>
    <w:semiHidden/>
    <w:rsid w:val="00E77CB3"/>
    <w:rPr>
      <w:rFonts w:eastAsiaTheme="minorEastAsia"/>
      <w:sz w:val="24"/>
    </w:rPr>
  </w:style>
  <w:style w:type="character" w:styleId="Textedelespacerserv">
    <w:name w:val="Placeholder Text"/>
    <w:basedOn w:val="Policepardfaut"/>
    <w:uiPriority w:val="99"/>
    <w:semiHidden/>
    <w:rsid w:val="00A66252"/>
    <w:rPr>
      <w:color w:val="auto"/>
      <w:bdr w:val="none" w:sz="0" w:space="0" w:color="auto"/>
      <w:shd w:val="clear" w:color="auto" w:fill="DFDFDF" w:themeFill="background2" w:themeFillShade="E6"/>
    </w:rPr>
  </w:style>
  <w:style w:type="paragraph" w:styleId="Textebrut">
    <w:name w:val="Plain Text"/>
    <w:basedOn w:val="Normal"/>
    <w:link w:val="TextebrutCar"/>
    <w:uiPriority w:val="99"/>
    <w:semiHidden/>
    <w:rsid w:val="00E77CB3"/>
    <w:rPr>
      <w:rFonts w:ascii="Consolas" w:hAnsi="Consolas" w:cs="Consolas"/>
      <w:sz w:val="21"/>
      <w:szCs w:val="21"/>
    </w:rPr>
  </w:style>
  <w:style w:type="character" w:customStyle="1" w:styleId="TextebrutCar">
    <w:name w:val="Texte brut Car"/>
    <w:basedOn w:val="Policepardfaut"/>
    <w:link w:val="Textebrut"/>
    <w:uiPriority w:val="99"/>
    <w:semiHidden/>
    <w:rsid w:val="00E77CB3"/>
    <w:rPr>
      <w:rFonts w:ascii="Consolas" w:eastAsiaTheme="minorEastAsia" w:hAnsi="Consolas" w:cs="Consolas"/>
      <w:sz w:val="21"/>
      <w:szCs w:val="21"/>
    </w:rPr>
  </w:style>
  <w:style w:type="paragraph" w:styleId="Salutations">
    <w:name w:val="Salutation"/>
    <w:basedOn w:val="Normal"/>
    <w:next w:val="Normal"/>
    <w:link w:val="SalutationsCar"/>
    <w:uiPriority w:val="99"/>
    <w:semiHidden/>
    <w:rsid w:val="00E77CB3"/>
  </w:style>
  <w:style w:type="character" w:customStyle="1" w:styleId="SalutationsCar">
    <w:name w:val="Salutations Car"/>
    <w:basedOn w:val="Policepardfaut"/>
    <w:link w:val="Salutations"/>
    <w:uiPriority w:val="99"/>
    <w:semiHidden/>
    <w:rsid w:val="00E77CB3"/>
    <w:rPr>
      <w:rFonts w:eastAsiaTheme="minorEastAsia"/>
      <w:sz w:val="24"/>
    </w:rPr>
  </w:style>
  <w:style w:type="paragraph" w:styleId="Signature">
    <w:name w:val="Signature"/>
    <w:basedOn w:val="Normal"/>
    <w:link w:val="SignatureCar"/>
    <w:uiPriority w:val="99"/>
    <w:semiHidden/>
    <w:rsid w:val="00E77CB3"/>
    <w:pPr>
      <w:ind w:left="4252"/>
    </w:pPr>
  </w:style>
  <w:style w:type="character" w:customStyle="1" w:styleId="SignatureCar">
    <w:name w:val="Signature Car"/>
    <w:basedOn w:val="Policepardfaut"/>
    <w:link w:val="Signature"/>
    <w:uiPriority w:val="99"/>
    <w:semiHidden/>
    <w:rsid w:val="00E77CB3"/>
    <w:rPr>
      <w:rFonts w:eastAsiaTheme="minorEastAsia"/>
      <w:sz w:val="24"/>
    </w:rPr>
  </w:style>
  <w:style w:type="table" w:styleId="Effets3D1">
    <w:name w:val="Table 3D effects 1"/>
    <w:basedOn w:val="TableauNormal"/>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uiPriority w:val="99"/>
    <w:semiHidden/>
    <w:rsid w:val="00E77CB3"/>
    <w:pPr>
      <w:ind w:left="240" w:hanging="240"/>
    </w:pPr>
  </w:style>
  <w:style w:type="paragraph" w:styleId="Tabledesillustrations">
    <w:name w:val="table of figures"/>
    <w:basedOn w:val="Normal"/>
    <w:next w:val="Normal"/>
    <w:uiPriority w:val="99"/>
    <w:semiHidden/>
    <w:rsid w:val="00E77CB3"/>
  </w:style>
  <w:style w:type="table" w:styleId="Professionnel">
    <w:name w:val="Table Professional"/>
    <w:basedOn w:val="Tableau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6">
    <w:name w:val="toc 6"/>
    <w:basedOn w:val="Normal"/>
    <w:next w:val="Normal"/>
    <w:autoRedefine/>
    <w:uiPriority w:val="99"/>
    <w:semiHidden/>
    <w:rsid w:val="00A66252"/>
    <w:pPr>
      <w:tabs>
        <w:tab w:val="right" w:leader="dot" w:pos="7371"/>
      </w:tabs>
      <w:spacing w:after="60" w:line="240" w:lineRule="exact"/>
      <w:ind w:left="2041" w:right="567" w:hanging="340"/>
    </w:pPr>
    <w:rPr>
      <w:sz w:val="20"/>
    </w:rPr>
  </w:style>
  <w:style w:type="paragraph" w:styleId="TM7">
    <w:name w:val="toc 7"/>
    <w:basedOn w:val="Normal"/>
    <w:next w:val="Normal"/>
    <w:autoRedefine/>
    <w:uiPriority w:val="99"/>
    <w:semiHidden/>
    <w:rsid w:val="00A66252"/>
    <w:pPr>
      <w:tabs>
        <w:tab w:val="right" w:leader="dot" w:pos="7371"/>
      </w:tabs>
      <w:spacing w:after="60" w:line="240" w:lineRule="exact"/>
      <w:ind w:left="2381" w:right="567" w:hanging="340"/>
    </w:pPr>
    <w:rPr>
      <w:sz w:val="20"/>
    </w:rPr>
  </w:style>
  <w:style w:type="paragraph" w:styleId="TM8">
    <w:name w:val="toc 8"/>
    <w:basedOn w:val="Normal"/>
    <w:next w:val="Normal"/>
    <w:autoRedefine/>
    <w:uiPriority w:val="99"/>
    <w:semiHidden/>
    <w:rsid w:val="00E77CB3"/>
    <w:pPr>
      <w:spacing w:after="100"/>
      <w:ind w:left="1680"/>
    </w:pPr>
  </w:style>
  <w:style w:type="paragraph" w:styleId="TM9">
    <w:name w:val="toc 9"/>
    <w:basedOn w:val="Normal"/>
    <w:next w:val="Normal"/>
    <w:autoRedefine/>
    <w:uiPriority w:val="99"/>
    <w:semiHidden/>
    <w:rsid w:val="00E77CB3"/>
    <w:pPr>
      <w:spacing w:after="100"/>
      <w:ind w:left="1920"/>
    </w:pPr>
  </w:style>
  <w:style w:type="paragraph" w:customStyle="1" w:styleId="OpiHa">
    <w:name w:val="Opi_H_a"/>
    <w:basedOn w:val="ECHRHeading3"/>
    <w:uiPriority w:val="43"/>
    <w:qFormat/>
    <w:rsid w:val="00A66252"/>
    <w:pPr>
      <w:ind w:left="833" w:hanging="357"/>
      <w:outlineLvl w:val="3"/>
    </w:pPr>
    <w:rPr>
      <w:b/>
      <w:i w:val="0"/>
      <w:sz w:val="20"/>
    </w:rPr>
  </w:style>
  <w:style w:type="paragraph" w:customStyle="1" w:styleId="JuCourt">
    <w:name w:val="Ju_Court"/>
    <w:basedOn w:val="Normal"/>
    <w:next w:val="Normal"/>
    <w:uiPriority w:val="16"/>
    <w:qFormat/>
    <w:rsid w:val="00A66252"/>
    <w:pPr>
      <w:tabs>
        <w:tab w:val="left" w:pos="907"/>
        <w:tab w:val="left" w:pos="1701"/>
        <w:tab w:val="right" w:pos="7371"/>
      </w:tabs>
      <w:spacing w:before="240"/>
      <w:ind w:left="397" w:hanging="397"/>
      <w:jc w:val="left"/>
    </w:pPr>
    <w:rPr>
      <w:lang w:bidi="en-US"/>
    </w:rPr>
  </w:style>
  <w:style w:type="paragraph" w:customStyle="1" w:styleId="OpiHA0">
    <w:name w:val="Opi_H_A"/>
    <w:basedOn w:val="ECHRHeading1"/>
    <w:next w:val="OpiPara"/>
    <w:uiPriority w:val="41"/>
    <w:qFormat/>
    <w:rsid w:val="00A66252"/>
    <w:pPr>
      <w:tabs>
        <w:tab w:val="clear" w:pos="357"/>
      </w:tabs>
      <w:outlineLvl w:val="1"/>
    </w:pPr>
    <w:rPr>
      <w:b/>
    </w:rPr>
  </w:style>
  <w:style w:type="paragraph" w:customStyle="1" w:styleId="OpiHi">
    <w:name w:val="Opi_H_i"/>
    <w:basedOn w:val="ECHRHeading4"/>
    <w:uiPriority w:val="44"/>
    <w:qFormat/>
    <w:rsid w:val="00A66252"/>
    <w:pPr>
      <w:ind w:left="1037" w:hanging="357"/>
      <w:outlineLvl w:val="4"/>
    </w:pPr>
    <w:rPr>
      <w:b w:val="0"/>
      <w:i/>
    </w:rPr>
  </w:style>
  <w:style w:type="paragraph" w:customStyle="1" w:styleId="OpiParaSub">
    <w:name w:val="Opi_Para_Sub"/>
    <w:basedOn w:val="JuParaSub"/>
    <w:uiPriority w:val="47"/>
    <w:unhideWhenUsed/>
    <w:qFormat/>
    <w:rsid w:val="00A66252"/>
  </w:style>
  <w:style w:type="paragraph" w:customStyle="1" w:styleId="OpiQuot">
    <w:name w:val="Opi_Quot"/>
    <w:basedOn w:val="ECHRParaQuote"/>
    <w:uiPriority w:val="48"/>
    <w:qFormat/>
    <w:rsid w:val="00A66252"/>
  </w:style>
  <w:style w:type="paragraph" w:customStyle="1" w:styleId="OpiQuotSub">
    <w:name w:val="Opi_Quot_Sub"/>
    <w:basedOn w:val="JuQuotSub"/>
    <w:uiPriority w:val="49"/>
    <w:qFormat/>
    <w:rsid w:val="00A66252"/>
  </w:style>
  <w:style w:type="character" w:customStyle="1" w:styleId="ECHRParaChar">
    <w:name w:val="ECHR_Para Char"/>
    <w:aliases w:val="Ju_Para Char"/>
    <w:link w:val="ECHRPara"/>
    <w:uiPriority w:val="12"/>
    <w:rsid w:val="007E5FC0"/>
    <w:rPr>
      <w:rFonts w:eastAsiaTheme="minorEastAsia"/>
      <w:sz w:val="24"/>
    </w:rPr>
  </w:style>
  <w:style w:type="character" w:customStyle="1" w:styleId="JuQuotChar">
    <w:name w:val="Ju_Quot Char"/>
    <w:link w:val="ECHRParaQuote"/>
    <w:uiPriority w:val="14"/>
    <w:rsid w:val="00E64FA9"/>
    <w:rPr>
      <w:rFonts w:eastAsiaTheme="minorEastAsia"/>
      <w:sz w:val="20"/>
    </w:rPr>
  </w:style>
  <w:style w:type="paragraph" w:styleId="Rvision">
    <w:name w:val="Revision"/>
    <w:hidden/>
    <w:uiPriority w:val="99"/>
    <w:semiHidden/>
    <w:rsid w:val="0062426D"/>
    <w:rPr>
      <w:rFonts w:eastAsiaTheme="minorEastAsia"/>
      <w:sz w:val="24"/>
    </w:rPr>
  </w:style>
  <w:style w:type="paragraph" w:customStyle="1" w:styleId="OpiTranslation">
    <w:name w:val="Opi_Translation"/>
    <w:basedOn w:val="Normal"/>
    <w:next w:val="OpiPara"/>
    <w:uiPriority w:val="40"/>
    <w:qFormat/>
    <w:rsid w:val="00A66252"/>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2579">
      <w:bodyDiv w:val="1"/>
      <w:marLeft w:val="0"/>
      <w:marRight w:val="0"/>
      <w:marTop w:val="0"/>
      <w:marBottom w:val="0"/>
      <w:divBdr>
        <w:top w:val="none" w:sz="0" w:space="0" w:color="auto"/>
        <w:left w:val="none" w:sz="0" w:space="0" w:color="auto"/>
        <w:bottom w:val="none" w:sz="0" w:space="0" w:color="auto"/>
        <w:right w:val="none" w:sz="0" w:space="0" w:color="auto"/>
      </w:divBdr>
      <w:divsChild>
        <w:div w:id="1820075881">
          <w:marLeft w:val="0"/>
          <w:marRight w:val="0"/>
          <w:marTop w:val="0"/>
          <w:marBottom w:val="0"/>
          <w:divBdr>
            <w:top w:val="none" w:sz="0" w:space="0" w:color="auto"/>
            <w:left w:val="none" w:sz="0" w:space="0" w:color="auto"/>
            <w:bottom w:val="none" w:sz="0" w:space="0" w:color="auto"/>
            <w:right w:val="none" w:sz="0" w:space="0" w:color="auto"/>
          </w:divBdr>
          <w:divsChild>
            <w:div w:id="1345010391">
              <w:marLeft w:val="0"/>
              <w:marRight w:val="0"/>
              <w:marTop w:val="0"/>
              <w:marBottom w:val="0"/>
              <w:divBdr>
                <w:top w:val="none" w:sz="0" w:space="0" w:color="auto"/>
                <w:left w:val="none" w:sz="0" w:space="0" w:color="auto"/>
                <w:bottom w:val="none" w:sz="0" w:space="0" w:color="auto"/>
                <w:right w:val="none" w:sz="0" w:space="0" w:color="auto"/>
              </w:divBdr>
              <w:divsChild>
                <w:div w:id="1475878783">
                  <w:marLeft w:val="0"/>
                  <w:marRight w:val="0"/>
                  <w:marTop w:val="0"/>
                  <w:marBottom w:val="0"/>
                  <w:divBdr>
                    <w:top w:val="none" w:sz="0" w:space="0" w:color="auto"/>
                    <w:left w:val="none" w:sz="0" w:space="0" w:color="auto"/>
                    <w:bottom w:val="none" w:sz="0" w:space="0" w:color="auto"/>
                    <w:right w:val="none" w:sz="0" w:space="0" w:color="auto"/>
                  </w:divBdr>
                  <w:divsChild>
                    <w:div w:id="1501316657">
                      <w:marLeft w:val="0"/>
                      <w:marRight w:val="0"/>
                      <w:marTop w:val="0"/>
                      <w:marBottom w:val="0"/>
                      <w:divBdr>
                        <w:top w:val="none" w:sz="0" w:space="0" w:color="auto"/>
                        <w:left w:val="none" w:sz="0" w:space="0" w:color="auto"/>
                        <w:bottom w:val="none" w:sz="0" w:space="0" w:color="auto"/>
                        <w:right w:val="none" w:sz="0" w:space="0" w:color="auto"/>
                      </w:divBdr>
                      <w:divsChild>
                        <w:div w:id="346105851">
                          <w:marLeft w:val="0"/>
                          <w:marRight w:val="0"/>
                          <w:marTop w:val="0"/>
                          <w:marBottom w:val="0"/>
                          <w:divBdr>
                            <w:top w:val="none" w:sz="0" w:space="0" w:color="auto"/>
                            <w:left w:val="none" w:sz="0" w:space="0" w:color="auto"/>
                            <w:bottom w:val="none" w:sz="0" w:space="0" w:color="auto"/>
                            <w:right w:val="none" w:sz="0" w:space="0" w:color="auto"/>
                          </w:divBdr>
                          <w:divsChild>
                            <w:div w:id="12575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6554">
      <w:bodyDiv w:val="1"/>
      <w:marLeft w:val="0"/>
      <w:marRight w:val="0"/>
      <w:marTop w:val="0"/>
      <w:marBottom w:val="0"/>
      <w:divBdr>
        <w:top w:val="none" w:sz="0" w:space="0" w:color="auto"/>
        <w:left w:val="none" w:sz="0" w:space="0" w:color="auto"/>
        <w:bottom w:val="none" w:sz="0" w:space="0" w:color="auto"/>
        <w:right w:val="none" w:sz="0" w:space="0" w:color="auto"/>
      </w:divBdr>
    </w:div>
    <w:div w:id="315455555">
      <w:bodyDiv w:val="1"/>
      <w:marLeft w:val="0"/>
      <w:marRight w:val="0"/>
      <w:marTop w:val="0"/>
      <w:marBottom w:val="0"/>
      <w:divBdr>
        <w:top w:val="none" w:sz="0" w:space="0" w:color="auto"/>
        <w:left w:val="none" w:sz="0" w:space="0" w:color="auto"/>
        <w:bottom w:val="none" w:sz="0" w:space="0" w:color="auto"/>
        <w:right w:val="none" w:sz="0" w:space="0" w:color="auto"/>
      </w:divBdr>
      <w:divsChild>
        <w:div w:id="806582104">
          <w:marLeft w:val="0"/>
          <w:marRight w:val="0"/>
          <w:marTop w:val="0"/>
          <w:marBottom w:val="0"/>
          <w:divBdr>
            <w:top w:val="none" w:sz="0" w:space="0" w:color="auto"/>
            <w:left w:val="none" w:sz="0" w:space="0" w:color="auto"/>
            <w:bottom w:val="none" w:sz="0" w:space="0" w:color="auto"/>
            <w:right w:val="none" w:sz="0" w:space="0" w:color="auto"/>
          </w:divBdr>
          <w:divsChild>
            <w:div w:id="274796373">
              <w:marLeft w:val="0"/>
              <w:marRight w:val="0"/>
              <w:marTop w:val="0"/>
              <w:marBottom w:val="0"/>
              <w:divBdr>
                <w:top w:val="none" w:sz="0" w:space="0" w:color="auto"/>
                <w:left w:val="none" w:sz="0" w:space="0" w:color="auto"/>
                <w:bottom w:val="none" w:sz="0" w:space="0" w:color="auto"/>
                <w:right w:val="none" w:sz="0" w:space="0" w:color="auto"/>
              </w:divBdr>
              <w:divsChild>
                <w:div w:id="1658459885">
                  <w:marLeft w:val="0"/>
                  <w:marRight w:val="0"/>
                  <w:marTop w:val="0"/>
                  <w:marBottom w:val="0"/>
                  <w:divBdr>
                    <w:top w:val="none" w:sz="0" w:space="0" w:color="auto"/>
                    <w:left w:val="none" w:sz="0" w:space="0" w:color="auto"/>
                    <w:bottom w:val="none" w:sz="0" w:space="0" w:color="auto"/>
                    <w:right w:val="none" w:sz="0" w:space="0" w:color="auto"/>
                  </w:divBdr>
                  <w:divsChild>
                    <w:div w:id="363873347">
                      <w:marLeft w:val="0"/>
                      <w:marRight w:val="0"/>
                      <w:marTop w:val="0"/>
                      <w:marBottom w:val="0"/>
                      <w:divBdr>
                        <w:top w:val="none" w:sz="0" w:space="0" w:color="auto"/>
                        <w:left w:val="none" w:sz="0" w:space="0" w:color="auto"/>
                        <w:bottom w:val="none" w:sz="0" w:space="0" w:color="auto"/>
                        <w:right w:val="none" w:sz="0" w:space="0" w:color="auto"/>
                      </w:divBdr>
                      <w:divsChild>
                        <w:div w:id="1155876739">
                          <w:marLeft w:val="0"/>
                          <w:marRight w:val="0"/>
                          <w:marTop w:val="0"/>
                          <w:marBottom w:val="0"/>
                          <w:divBdr>
                            <w:top w:val="none" w:sz="0" w:space="0" w:color="auto"/>
                            <w:left w:val="none" w:sz="0" w:space="0" w:color="auto"/>
                            <w:bottom w:val="none" w:sz="0" w:space="0" w:color="auto"/>
                            <w:right w:val="none" w:sz="0" w:space="0" w:color="auto"/>
                          </w:divBdr>
                          <w:divsChild>
                            <w:div w:id="1269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37829">
      <w:bodyDiv w:val="1"/>
      <w:marLeft w:val="0"/>
      <w:marRight w:val="0"/>
      <w:marTop w:val="0"/>
      <w:marBottom w:val="0"/>
      <w:divBdr>
        <w:top w:val="none" w:sz="0" w:space="0" w:color="auto"/>
        <w:left w:val="none" w:sz="0" w:space="0" w:color="auto"/>
        <w:bottom w:val="none" w:sz="0" w:space="0" w:color="auto"/>
        <w:right w:val="none" w:sz="0" w:space="0" w:color="auto"/>
      </w:divBdr>
      <w:divsChild>
        <w:div w:id="1338577515">
          <w:marLeft w:val="0"/>
          <w:marRight w:val="0"/>
          <w:marTop w:val="0"/>
          <w:marBottom w:val="0"/>
          <w:divBdr>
            <w:top w:val="none" w:sz="0" w:space="0" w:color="auto"/>
            <w:left w:val="none" w:sz="0" w:space="0" w:color="auto"/>
            <w:bottom w:val="none" w:sz="0" w:space="0" w:color="auto"/>
            <w:right w:val="none" w:sz="0" w:space="0" w:color="auto"/>
          </w:divBdr>
          <w:divsChild>
            <w:div w:id="1862088069">
              <w:marLeft w:val="0"/>
              <w:marRight w:val="0"/>
              <w:marTop w:val="0"/>
              <w:marBottom w:val="0"/>
              <w:divBdr>
                <w:top w:val="none" w:sz="0" w:space="0" w:color="auto"/>
                <w:left w:val="none" w:sz="0" w:space="0" w:color="auto"/>
                <w:bottom w:val="none" w:sz="0" w:space="0" w:color="auto"/>
                <w:right w:val="none" w:sz="0" w:space="0" w:color="auto"/>
              </w:divBdr>
              <w:divsChild>
                <w:div w:id="905337451">
                  <w:marLeft w:val="0"/>
                  <w:marRight w:val="0"/>
                  <w:marTop w:val="0"/>
                  <w:marBottom w:val="0"/>
                  <w:divBdr>
                    <w:top w:val="none" w:sz="0" w:space="0" w:color="auto"/>
                    <w:left w:val="none" w:sz="0" w:space="0" w:color="auto"/>
                    <w:bottom w:val="none" w:sz="0" w:space="0" w:color="auto"/>
                    <w:right w:val="none" w:sz="0" w:space="0" w:color="auto"/>
                  </w:divBdr>
                  <w:divsChild>
                    <w:div w:id="1711221944">
                      <w:marLeft w:val="0"/>
                      <w:marRight w:val="0"/>
                      <w:marTop w:val="0"/>
                      <w:marBottom w:val="0"/>
                      <w:divBdr>
                        <w:top w:val="none" w:sz="0" w:space="0" w:color="auto"/>
                        <w:left w:val="none" w:sz="0" w:space="0" w:color="auto"/>
                        <w:bottom w:val="none" w:sz="0" w:space="0" w:color="auto"/>
                        <w:right w:val="none" w:sz="0" w:space="0" w:color="auto"/>
                      </w:divBdr>
                      <w:divsChild>
                        <w:div w:id="1597668013">
                          <w:marLeft w:val="0"/>
                          <w:marRight w:val="0"/>
                          <w:marTop w:val="0"/>
                          <w:marBottom w:val="0"/>
                          <w:divBdr>
                            <w:top w:val="none" w:sz="0" w:space="0" w:color="auto"/>
                            <w:left w:val="none" w:sz="0" w:space="0" w:color="auto"/>
                            <w:bottom w:val="none" w:sz="0" w:space="0" w:color="auto"/>
                            <w:right w:val="none" w:sz="0" w:space="0" w:color="auto"/>
                          </w:divBdr>
                          <w:divsChild>
                            <w:div w:id="20559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7394">
      <w:bodyDiv w:val="1"/>
      <w:marLeft w:val="0"/>
      <w:marRight w:val="0"/>
      <w:marTop w:val="0"/>
      <w:marBottom w:val="0"/>
      <w:divBdr>
        <w:top w:val="none" w:sz="0" w:space="0" w:color="auto"/>
        <w:left w:val="none" w:sz="0" w:space="0" w:color="auto"/>
        <w:bottom w:val="none" w:sz="0" w:space="0" w:color="auto"/>
        <w:right w:val="none" w:sz="0" w:space="0" w:color="auto"/>
      </w:divBdr>
    </w:div>
    <w:div w:id="527716820">
      <w:bodyDiv w:val="1"/>
      <w:marLeft w:val="0"/>
      <w:marRight w:val="0"/>
      <w:marTop w:val="0"/>
      <w:marBottom w:val="0"/>
      <w:divBdr>
        <w:top w:val="none" w:sz="0" w:space="0" w:color="auto"/>
        <w:left w:val="none" w:sz="0" w:space="0" w:color="auto"/>
        <w:bottom w:val="none" w:sz="0" w:space="0" w:color="auto"/>
        <w:right w:val="none" w:sz="0" w:space="0" w:color="auto"/>
      </w:divBdr>
    </w:div>
    <w:div w:id="624119351">
      <w:bodyDiv w:val="1"/>
      <w:marLeft w:val="0"/>
      <w:marRight w:val="0"/>
      <w:marTop w:val="0"/>
      <w:marBottom w:val="0"/>
      <w:divBdr>
        <w:top w:val="none" w:sz="0" w:space="0" w:color="auto"/>
        <w:left w:val="none" w:sz="0" w:space="0" w:color="auto"/>
        <w:bottom w:val="none" w:sz="0" w:space="0" w:color="auto"/>
        <w:right w:val="none" w:sz="0" w:space="0" w:color="auto"/>
      </w:divBdr>
      <w:divsChild>
        <w:div w:id="257448777">
          <w:marLeft w:val="0"/>
          <w:marRight w:val="0"/>
          <w:marTop w:val="0"/>
          <w:marBottom w:val="0"/>
          <w:divBdr>
            <w:top w:val="none" w:sz="0" w:space="0" w:color="auto"/>
            <w:left w:val="none" w:sz="0" w:space="0" w:color="auto"/>
            <w:bottom w:val="none" w:sz="0" w:space="0" w:color="auto"/>
            <w:right w:val="none" w:sz="0" w:space="0" w:color="auto"/>
          </w:divBdr>
          <w:divsChild>
            <w:div w:id="117571918">
              <w:marLeft w:val="0"/>
              <w:marRight w:val="0"/>
              <w:marTop w:val="0"/>
              <w:marBottom w:val="0"/>
              <w:divBdr>
                <w:top w:val="none" w:sz="0" w:space="0" w:color="auto"/>
                <w:left w:val="none" w:sz="0" w:space="0" w:color="auto"/>
                <w:bottom w:val="none" w:sz="0" w:space="0" w:color="auto"/>
                <w:right w:val="none" w:sz="0" w:space="0" w:color="auto"/>
              </w:divBdr>
              <w:divsChild>
                <w:div w:id="1931308186">
                  <w:marLeft w:val="0"/>
                  <w:marRight w:val="0"/>
                  <w:marTop w:val="0"/>
                  <w:marBottom w:val="0"/>
                  <w:divBdr>
                    <w:top w:val="none" w:sz="0" w:space="0" w:color="auto"/>
                    <w:left w:val="none" w:sz="0" w:space="0" w:color="auto"/>
                    <w:bottom w:val="none" w:sz="0" w:space="0" w:color="auto"/>
                    <w:right w:val="none" w:sz="0" w:space="0" w:color="auto"/>
                  </w:divBdr>
                  <w:divsChild>
                    <w:div w:id="2073428291">
                      <w:marLeft w:val="0"/>
                      <w:marRight w:val="0"/>
                      <w:marTop w:val="0"/>
                      <w:marBottom w:val="0"/>
                      <w:divBdr>
                        <w:top w:val="none" w:sz="0" w:space="0" w:color="auto"/>
                        <w:left w:val="none" w:sz="0" w:space="0" w:color="auto"/>
                        <w:bottom w:val="none" w:sz="0" w:space="0" w:color="auto"/>
                        <w:right w:val="none" w:sz="0" w:space="0" w:color="auto"/>
                      </w:divBdr>
                      <w:divsChild>
                        <w:div w:id="311175411">
                          <w:marLeft w:val="0"/>
                          <w:marRight w:val="0"/>
                          <w:marTop w:val="0"/>
                          <w:marBottom w:val="0"/>
                          <w:divBdr>
                            <w:top w:val="none" w:sz="0" w:space="0" w:color="auto"/>
                            <w:left w:val="none" w:sz="0" w:space="0" w:color="auto"/>
                            <w:bottom w:val="none" w:sz="0" w:space="0" w:color="auto"/>
                            <w:right w:val="none" w:sz="0" w:space="0" w:color="auto"/>
                          </w:divBdr>
                          <w:divsChild>
                            <w:div w:id="3212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2069">
      <w:bodyDiv w:val="1"/>
      <w:marLeft w:val="0"/>
      <w:marRight w:val="0"/>
      <w:marTop w:val="0"/>
      <w:marBottom w:val="0"/>
      <w:divBdr>
        <w:top w:val="none" w:sz="0" w:space="0" w:color="auto"/>
        <w:left w:val="none" w:sz="0" w:space="0" w:color="auto"/>
        <w:bottom w:val="none" w:sz="0" w:space="0" w:color="auto"/>
        <w:right w:val="none" w:sz="0" w:space="0" w:color="auto"/>
      </w:divBdr>
      <w:divsChild>
        <w:div w:id="1713192368">
          <w:marLeft w:val="0"/>
          <w:marRight w:val="0"/>
          <w:marTop w:val="0"/>
          <w:marBottom w:val="0"/>
          <w:divBdr>
            <w:top w:val="none" w:sz="0" w:space="0" w:color="auto"/>
            <w:left w:val="none" w:sz="0" w:space="0" w:color="auto"/>
            <w:bottom w:val="none" w:sz="0" w:space="0" w:color="auto"/>
            <w:right w:val="none" w:sz="0" w:space="0" w:color="auto"/>
          </w:divBdr>
          <w:divsChild>
            <w:div w:id="1846047895">
              <w:marLeft w:val="0"/>
              <w:marRight w:val="0"/>
              <w:marTop w:val="0"/>
              <w:marBottom w:val="0"/>
              <w:divBdr>
                <w:top w:val="none" w:sz="0" w:space="0" w:color="auto"/>
                <w:left w:val="none" w:sz="0" w:space="0" w:color="auto"/>
                <w:bottom w:val="none" w:sz="0" w:space="0" w:color="auto"/>
                <w:right w:val="none" w:sz="0" w:space="0" w:color="auto"/>
              </w:divBdr>
              <w:divsChild>
                <w:div w:id="330837862">
                  <w:marLeft w:val="0"/>
                  <w:marRight w:val="0"/>
                  <w:marTop w:val="0"/>
                  <w:marBottom w:val="0"/>
                  <w:divBdr>
                    <w:top w:val="none" w:sz="0" w:space="0" w:color="auto"/>
                    <w:left w:val="none" w:sz="0" w:space="0" w:color="auto"/>
                    <w:bottom w:val="none" w:sz="0" w:space="0" w:color="auto"/>
                    <w:right w:val="none" w:sz="0" w:space="0" w:color="auto"/>
                  </w:divBdr>
                  <w:divsChild>
                    <w:div w:id="1873154330">
                      <w:marLeft w:val="0"/>
                      <w:marRight w:val="0"/>
                      <w:marTop w:val="0"/>
                      <w:marBottom w:val="0"/>
                      <w:divBdr>
                        <w:top w:val="none" w:sz="0" w:space="0" w:color="auto"/>
                        <w:left w:val="none" w:sz="0" w:space="0" w:color="auto"/>
                        <w:bottom w:val="none" w:sz="0" w:space="0" w:color="auto"/>
                        <w:right w:val="none" w:sz="0" w:space="0" w:color="auto"/>
                      </w:divBdr>
                      <w:divsChild>
                        <w:div w:id="1396391703">
                          <w:marLeft w:val="0"/>
                          <w:marRight w:val="0"/>
                          <w:marTop w:val="0"/>
                          <w:marBottom w:val="0"/>
                          <w:divBdr>
                            <w:top w:val="none" w:sz="0" w:space="0" w:color="auto"/>
                            <w:left w:val="none" w:sz="0" w:space="0" w:color="auto"/>
                            <w:bottom w:val="none" w:sz="0" w:space="0" w:color="auto"/>
                            <w:right w:val="none" w:sz="0" w:space="0" w:color="auto"/>
                          </w:divBdr>
                          <w:divsChild>
                            <w:div w:id="1506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16331">
      <w:bodyDiv w:val="1"/>
      <w:marLeft w:val="0"/>
      <w:marRight w:val="0"/>
      <w:marTop w:val="0"/>
      <w:marBottom w:val="0"/>
      <w:divBdr>
        <w:top w:val="none" w:sz="0" w:space="0" w:color="auto"/>
        <w:left w:val="none" w:sz="0" w:space="0" w:color="auto"/>
        <w:bottom w:val="none" w:sz="0" w:space="0" w:color="auto"/>
        <w:right w:val="none" w:sz="0" w:space="0" w:color="auto"/>
      </w:divBdr>
      <w:divsChild>
        <w:div w:id="1786462174">
          <w:marLeft w:val="0"/>
          <w:marRight w:val="0"/>
          <w:marTop w:val="0"/>
          <w:marBottom w:val="0"/>
          <w:divBdr>
            <w:top w:val="none" w:sz="0" w:space="0" w:color="auto"/>
            <w:left w:val="none" w:sz="0" w:space="0" w:color="auto"/>
            <w:bottom w:val="none" w:sz="0" w:space="0" w:color="auto"/>
            <w:right w:val="none" w:sz="0" w:space="0" w:color="auto"/>
          </w:divBdr>
          <w:divsChild>
            <w:div w:id="1460421286">
              <w:marLeft w:val="0"/>
              <w:marRight w:val="0"/>
              <w:marTop w:val="0"/>
              <w:marBottom w:val="0"/>
              <w:divBdr>
                <w:top w:val="none" w:sz="0" w:space="0" w:color="auto"/>
                <w:left w:val="none" w:sz="0" w:space="0" w:color="auto"/>
                <w:bottom w:val="none" w:sz="0" w:space="0" w:color="auto"/>
                <w:right w:val="none" w:sz="0" w:space="0" w:color="auto"/>
              </w:divBdr>
              <w:divsChild>
                <w:div w:id="350229848">
                  <w:marLeft w:val="0"/>
                  <w:marRight w:val="0"/>
                  <w:marTop w:val="0"/>
                  <w:marBottom w:val="0"/>
                  <w:divBdr>
                    <w:top w:val="none" w:sz="0" w:space="0" w:color="auto"/>
                    <w:left w:val="none" w:sz="0" w:space="0" w:color="auto"/>
                    <w:bottom w:val="none" w:sz="0" w:space="0" w:color="auto"/>
                    <w:right w:val="none" w:sz="0" w:space="0" w:color="auto"/>
                  </w:divBdr>
                  <w:divsChild>
                    <w:div w:id="133329291">
                      <w:marLeft w:val="0"/>
                      <w:marRight w:val="0"/>
                      <w:marTop w:val="0"/>
                      <w:marBottom w:val="0"/>
                      <w:divBdr>
                        <w:top w:val="none" w:sz="0" w:space="0" w:color="auto"/>
                        <w:left w:val="none" w:sz="0" w:space="0" w:color="auto"/>
                        <w:bottom w:val="none" w:sz="0" w:space="0" w:color="auto"/>
                        <w:right w:val="none" w:sz="0" w:space="0" w:color="auto"/>
                      </w:divBdr>
                      <w:divsChild>
                        <w:div w:id="1788161187">
                          <w:marLeft w:val="0"/>
                          <w:marRight w:val="0"/>
                          <w:marTop w:val="0"/>
                          <w:marBottom w:val="0"/>
                          <w:divBdr>
                            <w:top w:val="none" w:sz="0" w:space="0" w:color="auto"/>
                            <w:left w:val="none" w:sz="0" w:space="0" w:color="auto"/>
                            <w:bottom w:val="none" w:sz="0" w:space="0" w:color="auto"/>
                            <w:right w:val="none" w:sz="0" w:space="0" w:color="auto"/>
                          </w:divBdr>
                          <w:divsChild>
                            <w:div w:id="2082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735803">
      <w:bodyDiv w:val="1"/>
      <w:marLeft w:val="0"/>
      <w:marRight w:val="0"/>
      <w:marTop w:val="0"/>
      <w:marBottom w:val="0"/>
      <w:divBdr>
        <w:top w:val="none" w:sz="0" w:space="0" w:color="auto"/>
        <w:left w:val="none" w:sz="0" w:space="0" w:color="auto"/>
        <w:bottom w:val="none" w:sz="0" w:space="0" w:color="auto"/>
        <w:right w:val="none" w:sz="0" w:space="0" w:color="auto"/>
      </w:divBdr>
      <w:divsChild>
        <w:div w:id="1606032208">
          <w:marLeft w:val="0"/>
          <w:marRight w:val="0"/>
          <w:marTop w:val="0"/>
          <w:marBottom w:val="0"/>
          <w:divBdr>
            <w:top w:val="none" w:sz="0" w:space="0" w:color="auto"/>
            <w:left w:val="none" w:sz="0" w:space="0" w:color="auto"/>
            <w:bottom w:val="none" w:sz="0" w:space="0" w:color="auto"/>
            <w:right w:val="none" w:sz="0" w:space="0" w:color="auto"/>
          </w:divBdr>
          <w:divsChild>
            <w:div w:id="1478954961">
              <w:marLeft w:val="0"/>
              <w:marRight w:val="0"/>
              <w:marTop w:val="0"/>
              <w:marBottom w:val="0"/>
              <w:divBdr>
                <w:top w:val="none" w:sz="0" w:space="0" w:color="auto"/>
                <w:left w:val="none" w:sz="0" w:space="0" w:color="auto"/>
                <w:bottom w:val="none" w:sz="0" w:space="0" w:color="auto"/>
                <w:right w:val="none" w:sz="0" w:space="0" w:color="auto"/>
              </w:divBdr>
              <w:divsChild>
                <w:div w:id="1639677506">
                  <w:marLeft w:val="0"/>
                  <w:marRight w:val="0"/>
                  <w:marTop w:val="0"/>
                  <w:marBottom w:val="0"/>
                  <w:divBdr>
                    <w:top w:val="none" w:sz="0" w:space="0" w:color="auto"/>
                    <w:left w:val="none" w:sz="0" w:space="0" w:color="auto"/>
                    <w:bottom w:val="none" w:sz="0" w:space="0" w:color="auto"/>
                    <w:right w:val="none" w:sz="0" w:space="0" w:color="auto"/>
                  </w:divBdr>
                  <w:divsChild>
                    <w:div w:id="1972053487">
                      <w:marLeft w:val="0"/>
                      <w:marRight w:val="0"/>
                      <w:marTop w:val="0"/>
                      <w:marBottom w:val="0"/>
                      <w:divBdr>
                        <w:top w:val="none" w:sz="0" w:space="0" w:color="auto"/>
                        <w:left w:val="none" w:sz="0" w:space="0" w:color="auto"/>
                        <w:bottom w:val="none" w:sz="0" w:space="0" w:color="auto"/>
                        <w:right w:val="none" w:sz="0" w:space="0" w:color="auto"/>
                      </w:divBdr>
                      <w:divsChild>
                        <w:div w:id="1585533287">
                          <w:marLeft w:val="0"/>
                          <w:marRight w:val="0"/>
                          <w:marTop w:val="0"/>
                          <w:marBottom w:val="0"/>
                          <w:divBdr>
                            <w:top w:val="none" w:sz="0" w:space="0" w:color="auto"/>
                            <w:left w:val="none" w:sz="0" w:space="0" w:color="auto"/>
                            <w:bottom w:val="none" w:sz="0" w:space="0" w:color="auto"/>
                            <w:right w:val="none" w:sz="0" w:space="0" w:color="auto"/>
                          </w:divBdr>
                          <w:divsChild>
                            <w:div w:id="1828328512">
                              <w:marLeft w:val="0"/>
                              <w:marRight w:val="0"/>
                              <w:marTop w:val="0"/>
                              <w:marBottom w:val="0"/>
                              <w:divBdr>
                                <w:top w:val="none" w:sz="0" w:space="0" w:color="auto"/>
                                <w:left w:val="none" w:sz="0" w:space="0" w:color="auto"/>
                                <w:bottom w:val="none" w:sz="0" w:space="0" w:color="auto"/>
                                <w:right w:val="none" w:sz="0" w:space="0" w:color="auto"/>
                              </w:divBdr>
                              <w:divsChild>
                                <w:div w:id="225922253">
                                  <w:marLeft w:val="0"/>
                                  <w:marRight w:val="0"/>
                                  <w:marTop w:val="0"/>
                                  <w:marBottom w:val="0"/>
                                  <w:divBdr>
                                    <w:top w:val="none" w:sz="0" w:space="0" w:color="auto"/>
                                    <w:left w:val="none" w:sz="0" w:space="0" w:color="auto"/>
                                    <w:bottom w:val="none" w:sz="0" w:space="0" w:color="auto"/>
                                    <w:right w:val="none" w:sz="0" w:space="0" w:color="auto"/>
                                  </w:divBdr>
                                </w:div>
                                <w:div w:id="1580947051">
                                  <w:marLeft w:val="0"/>
                                  <w:marRight w:val="0"/>
                                  <w:marTop w:val="0"/>
                                  <w:marBottom w:val="0"/>
                                  <w:divBdr>
                                    <w:top w:val="none" w:sz="0" w:space="0" w:color="auto"/>
                                    <w:left w:val="none" w:sz="0" w:space="0" w:color="auto"/>
                                    <w:bottom w:val="none" w:sz="0" w:space="0" w:color="auto"/>
                                    <w:right w:val="none" w:sz="0" w:space="0" w:color="auto"/>
                                  </w:divBdr>
                                </w:div>
                                <w:div w:id="1687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626975">
      <w:bodyDiv w:val="1"/>
      <w:marLeft w:val="0"/>
      <w:marRight w:val="0"/>
      <w:marTop w:val="0"/>
      <w:marBottom w:val="0"/>
      <w:divBdr>
        <w:top w:val="none" w:sz="0" w:space="0" w:color="auto"/>
        <w:left w:val="none" w:sz="0" w:space="0" w:color="auto"/>
        <w:bottom w:val="none" w:sz="0" w:space="0" w:color="auto"/>
        <w:right w:val="none" w:sz="0" w:space="0" w:color="auto"/>
      </w:divBdr>
    </w:div>
    <w:div w:id="1324696023">
      <w:bodyDiv w:val="1"/>
      <w:marLeft w:val="0"/>
      <w:marRight w:val="0"/>
      <w:marTop w:val="0"/>
      <w:marBottom w:val="0"/>
      <w:divBdr>
        <w:top w:val="none" w:sz="0" w:space="0" w:color="auto"/>
        <w:left w:val="none" w:sz="0" w:space="0" w:color="auto"/>
        <w:bottom w:val="none" w:sz="0" w:space="0" w:color="auto"/>
        <w:right w:val="none" w:sz="0" w:space="0" w:color="auto"/>
      </w:divBdr>
    </w:div>
    <w:div w:id="1468860455">
      <w:bodyDiv w:val="1"/>
      <w:marLeft w:val="0"/>
      <w:marRight w:val="0"/>
      <w:marTop w:val="0"/>
      <w:marBottom w:val="0"/>
      <w:divBdr>
        <w:top w:val="none" w:sz="0" w:space="0" w:color="auto"/>
        <w:left w:val="none" w:sz="0" w:space="0" w:color="auto"/>
        <w:bottom w:val="none" w:sz="0" w:space="0" w:color="auto"/>
        <w:right w:val="none" w:sz="0" w:space="0" w:color="auto"/>
      </w:divBdr>
      <w:divsChild>
        <w:div w:id="1916089767">
          <w:marLeft w:val="0"/>
          <w:marRight w:val="0"/>
          <w:marTop w:val="0"/>
          <w:marBottom w:val="0"/>
          <w:divBdr>
            <w:top w:val="none" w:sz="0" w:space="0" w:color="auto"/>
            <w:left w:val="none" w:sz="0" w:space="0" w:color="auto"/>
            <w:bottom w:val="none" w:sz="0" w:space="0" w:color="auto"/>
            <w:right w:val="none" w:sz="0" w:space="0" w:color="auto"/>
          </w:divBdr>
          <w:divsChild>
            <w:div w:id="1885865006">
              <w:marLeft w:val="0"/>
              <w:marRight w:val="0"/>
              <w:marTop w:val="0"/>
              <w:marBottom w:val="0"/>
              <w:divBdr>
                <w:top w:val="none" w:sz="0" w:space="0" w:color="auto"/>
                <w:left w:val="none" w:sz="0" w:space="0" w:color="auto"/>
                <w:bottom w:val="none" w:sz="0" w:space="0" w:color="auto"/>
                <w:right w:val="none" w:sz="0" w:space="0" w:color="auto"/>
              </w:divBdr>
              <w:divsChild>
                <w:div w:id="59250042">
                  <w:marLeft w:val="0"/>
                  <w:marRight w:val="0"/>
                  <w:marTop w:val="0"/>
                  <w:marBottom w:val="0"/>
                  <w:divBdr>
                    <w:top w:val="none" w:sz="0" w:space="0" w:color="auto"/>
                    <w:left w:val="none" w:sz="0" w:space="0" w:color="auto"/>
                    <w:bottom w:val="none" w:sz="0" w:space="0" w:color="auto"/>
                    <w:right w:val="none" w:sz="0" w:space="0" w:color="auto"/>
                  </w:divBdr>
                  <w:divsChild>
                    <w:div w:id="439838954">
                      <w:marLeft w:val="0"/>
                      <w:marRight w:val="0"/>
                      <w:marTop w:val="0"/>
                      <w:marBottom w:val="0"/>
                      <w:divBdr>
                        <w:top w:val="none" w:sz="0" w:space="0" w:color="auto"/>
                        <w:left w:val="none" w:sz="0" w:space="0" w:color="auto"/>
                        <w:bottom w:val="none" w:sz="0" w:space="0" w:color="auto"/>
                        <w:right w:val="none" w:sz="0" w:space="0" w:color="auto"/>
                      </w:divBdr>
                      <w:divsChild>
                        <w:div w:id="988480753">
                          <w:marLeft w:val="0"/>
                          <w:marRight w:val="0"/>
                          <w:marTop w:val="0"/>
                          <w:marBottom w:val="0"/>
                          <w:divBdr>
                            <w:top w:val="none" w:sz="0" w:space="0" w:color="auto"/>
                            <w:left w:val="none" w:sz="0" w:space="0" w:color="auto"/>
                            <w:bottom w:val="none" w:sz="0" w:space="0" w:color="auto"/>
                            <w:right w:val="none" w:sz="0" w:space="0" w:color="auto"/>
                          </w:divBdr>
                          <w:divsChild>
                            <w:div w:id="15145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08035484">
      <w:bodyDiv w:val="1"/>
      <w:marLeft w:val="0"/>
      <w:marRight w:val="0"/>
      <w:marTop w:val="0"/>
      <w:marBottom w:val="0"/>
      <w:divBdr>
        <w:top w:val="none" w:sz="0" w:space="0" w:color="auto"/>
        <w:left w:val="none" w:sz="0" w:space="0" w:color="auto"/>
        <w:bottom w:val="none" w:sz="0" w:space="0" w:color="auto"/>
        <w:right w:val="none" w:sz="0" w:space="0" w:color="auto"/>
      </w:divBdr>
      <w:divsChild>
        <w:div w:id="1404135447">
          <w:marLeft w:val="0"/>
          <w:marRight w:val="0"/>
          <w:marTop w:val="0"/>
          <w:marBottom w:val="0"/>
          <w:divBdr>
            <w:top w:val="none" w:sz="0" w:space="0" w:color="auto"/>
            <w:left w:val="none" w:sz="0" w:space="0" w:color="auto"/>
            <w:bottom w:val="none" w:sz="0" w:space="0" w:color="auto"/>
            <w:right w:val="none" w:sz="0" w:space="0" w:color="auto"/>
          </w:divBdr>
          <w:divsChild>
            <w:div w:id="703989699">
              <w:marLeft w:val="0"/>
              <w:marRight w:val="0"/>
              <w:marTop w:val="0"/>
              <w:marBottom w:val="0"/>
              <w:divBdr>
                <w:top w:val="none" w:sz="0" w:space="0" w:color="auto"/>
                <w:left w:val="none" w:sz="0" w:space="0" w:color="auto"/>
                <w:bottom w:val="none" w:sz="0" w:space="0" w:color="auto"/>
                <w:right w:val="none" w:sz="0" w:space="0" w:color="auto"/>
              </w:divBdr>
              <w:divsChild>
                <w:div w:id="413746382">
                  <w:marLeft w:val="0"/>
                  <w:marRight w:val="0"/>
                  <w:marTop w:val="0"/>
                  <w:marBottom w:val="0"/>
                  <w:divBdr>
                    <w:top w:val="none" w:sz="0" w:space="0" w:color="auto"/>
                    <w:left w:val="none" w:sz="0" w:space="0" w:color="auto"/>
                    <w:bottom w:val="none" w:sz="0" w:space="0" w:color="auto"/>
                    <w:right w:val="none" w:sz="0" w:space="0" w:color="auto"/>
                  </w:divBdr>
                  <w:divsChild>
                    <w:div w:id="24986256">
                      <w:marLeft w:val="0"/>
                      <w:marRight w:val="0"/>
                      <w:marTop w:val="0"/>
                      <w:marBottom w:val="0"/>
                      <w:divBdr>
                        <w:top w:val="none" w:sz="0" w:space="0" w:color="auto"/>
                        <w:left w:val="none" w:sz="0" w:space="0" w:color="auto"/>
                        <w:bottom w:val="none" w:sz="0" w:space="0" w:color="auto"/>
                        <w:right w:val="none" w:sz="0" w:space="0" w:color="auto"/>
                      </w:divBdr>
                      <w:divsChild>
                        <w:div w:id="831066240">
                          <w:marLeft w:val="0"/>
                          <w:marRight w:val="0"/>
                          <w:marTop w:val="0"/>
                          <w:marBottom w:val="0"/>
                          <w:divBdr>
                            <w:top w:val="none" w:sz="0" w:space="0" w:color="auto"/>
                            <w:left w:val="none" w:sz="0" w:space="0" w:color="auto"/>
                            <w:bottom w:val="none" w:sz="0" w:space="0" w:color="auto"/>
                            <w:right w:val="none" w:sz="0" w:space="0" w:color="auto"/>
                          </w:divBdr>
                          <w:divsChild>
                            <w:div w:id="1082143735">
                              <w:marLeft w:val="0"/>
                              <w:marRight w:val="0"/>
                              <w:marTop w:val="0"/>
                              <w:marBottom w:val="0"/>
                              <w:divBdr>
                                <w:top w:val="none" w:sz="0" w:space="0" w:color="auto"/>
                                <w:left w:val="none" w:sz="0" w:space="0" w:color="auto"/>
                                <w:bottom w:val="none" w:sz="0" w:space="0" w:color="auto"/>
                                <w:right w:val="none" w:sz="0" w:space="0" w:color="auto"/>
                              </w:divBdr>
                              <w:divsChild>
                                <w:div w:id="642852938">
                                  <w:marLeft w:val="0"/>
                                  <w:marRight w:val="0"/>
                                  <w:marTop w:val="0"/>
                                  <w:marBottom w:val="0"/>
                                  <w:divBdr>
                                    <w:top w:val="none" w:sz="0" w:space="0" w:color="auto"/>
                                    <w:left w:val="none" w:sz="0" w:space="0" w:color="auto"/>
                                    <w:bottom w:val="none" w:sz="0" w:space="0" w:color="auto"/>
                                    <w:right w:val="none" w:sz="0" w:space="0" w:color="auto"/>
                                  </w:divBdr>
                                  <w:divsChild>
                                    <w:div w:id="1553807655">
                                      <w:marLeft w:val="0"/>
                                      <w:marRight w:val="0"/>
                                      <w:marTop w:val="0"/>
                                      <w:marBottom w:val="0"/>
                                      <w:divBdr>
                                        <w:top w:val="none" w:sz="0" w:space="0" w:color="auto"/>
                                        <w:left w:val="none" w:sz="0" w:space="0" w:color="auto"/>
                                        <w:bottom w:val="none" w:sz="0" w:space="0" w:color="auto"/>
                                        <w:right w:val="none" w:sz="0" w:space="0" w:color="auto"/>
                                      </w:divBdr>
                                      <w:divsChild>
                                        <w:div w:id="765729823">
                                          <w:marLeft w:val="0"/>
                                          <w:marRight w:val="0"/>
                                          <w:marTop w:val="0"/>
                                          <w:marBottom w:val="0"/>
                                          <w:divBdr>
                                            <w:top w:val="none" w:sz="0" w:space="0" w:color="auto"/>
                                            <w:left w:val="none" w:sz="0" w:space="0" w:color="auto"/>
                                            <w:bottom w:val="none" w:sz="0" w:space="0" w:color="auto"/>
                                            <w:right w:val="none" w:sz="0" w:space="0" w:color="auto"/>
                                          </w:divBdr>
                                          <w:divsChild>
                                            <w:div w:id="969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417073">
      <w:bodyDiv w:val="1"/>
      <w:marLeft w:val="0"/>
      <w:marRight w:val="0"/>
      <w:marTop w:val="0"/>
      <w:marBottom w:val="0"/>
      <w:divBdr>
        <w:top w:val="none" w:sz="0" w:space="0" w:color="auto"/>
        <w:left w:val="none" w:sz="0" w:space="0" w:color="auto"/>
        <w:bottom w:val="none" w:sz="0" w:space="0" w:color="auto"/>
        <w:right w:val="none" w:sz="0" w:space="0" w:color="auto"/>
      </w:divBdr>
      <w:divsChild>
        <w:div w:id="343750366">
          <w:marLeft w:val="0"/>
          <w:marRight w:val="0"/>
          <w:marTop w:val="0"/>
          <w:marBottom w:val="0"/>
          <w:divBdr>
            <w:top w:val="none" w:sz="0" w:space="0" w:color="auto"/>
            <w:left w:val="none" w:sz="0" w:space="0" w:color="auto"/>
            <w:bottom w:val="none" w:sz="0" w:space="0" w:color="auto"/>
            <w:right w:val="none" w:sz="0" w:space="0" w:color="auto"/>
          </w:divBdr>
          <w:divsChild>
            <w:div w:id="239826943">
              <w:marLeft w:val="0"/>
              <w:marRight w:val="0"/>
              <w:marTop w:val="0"/>
              <w:marBottom w:val="0"/>
              <w:divBdr>
                <w:top w:val="none" w:sz="0" w:space="0" w:color="auto"/>
                <w:left w:val="none" w:sz="0" w:space="0" w:color="auto"/>
                <w:bottom w:val="none" w:sz="0" w:space="0" w:color="auto"/>
                <w:right w:val="none" w:sz="0" w:space="0" w:color="auto"/>
              </w:divBdr>
              <w:divsChild>
                <w:div w:id="885995057">
                  <w:marLeft w:val="0"/>
                  <w:marRight w:val="0"/>
                  <w:marTop w:val="0"/>
                  <w:marBottom w:val="0"/>
                  <w:divBdr>
                    <w:top w:val="none" w:sz="0" w:space="0" w:color="auto"/>
                    <w:left w:val="none" w:sz="0" w:space="0" w:color="auto"/>
                    <w:bottom w:val="none" w:sz="0" w:space="0" w:color="auto"/>
                    <w:right w:val="none" w:sz="0" w:space="0" w:color="auto"/>
                  </w:divBdr>
                  <w:divsChild>
                    <w:div w:id="1373069133">
                      <w:marLeft w:val="0"/>
                      <w:marRight w:val="0"/>
                      <w:marTop w:val="0"/>
                      <w:marBottom w:val="0"/>
                      <w:divBdr>
                        <w:top w:val="none" w:sz="0" w:space="0" w:color="auto"/>
                        <w:left w:val="none" w:sz="0" w:space="0" w:color="auto"/>
                        <w:bottom w:val="none" w:sz="0" w:space="0" w:color="auto"/>
                        <w:right w:val="none" w:sz="0" w:space="0" w:color="auto"/>
                      </w:divBdr>
                      <w:divsChild>
                        <w:div w:id="248277592">
                          <w:marLeft w:val="0"/>
                          <w:marRight w:val="0"/>
                          <w:marTop w:val="0"/>
                          <w:marBottom w:val="0"/>
                          <w:divBdr>
                            <w:top w:val="none" w:sz="0" w:space="0" w:color="auto"/>
                            <w:left w:val="none" w:sz="0" w:space="0" w:color="auto"/>
                            <w:bottom w:val="none" w:sz="0" w:space="0" w:color="auto"/>
                            <w:right w:val="none" w:sz="0" w:space="0" w:color="auto"/>
                          </w:divBdr>
                          <w:divsChild>
                            <w:div w:id="2017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9906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055080633">
      <w:bodyDiv w:val="1"/>
      <w:marLeft w:val="0"/>
      <w:marRight w:val="0"/>
      <w:marTop w:val="0"/>
      <w:marBottom w:val="0"/>
      <w:divBdr>
        <w:top w:val="none" w:sz="0" w:space="0" w:color="auto"/>
        <w:left w:val="none" w:sz="0" w:space="0" w:color="auto"/>
        <w:bottom w:val="none" w:sz="0" w:space="0" w:color="auto"/>
        <w:right w:val="none" w:sz="0" w:space="0" w:color="auto"/>
      </w:divBdr>
    </w:div>
    <w:div w:id="21324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4DDC-3D2D-4B7B-A029-6594D7078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BC15D-0B97-4D0A-B1B6-07B1B7FD9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1D79B-C560-4D9B-8C64-5160B162FE8C}">
  <ds:schemaRefs>
    <ds:schemaRef ds:uri="http://schemas.microsoft.com/sharepoint/v3/contenttype/forms"/>
  </ds:schemaRefs>
</ds:datastoreItem>
</file>

<file path=customXml/itemProps4.xml><?xml version="1.0" encoding="utf-8"?>
<ds:datastoreItem xmlns:ds="http://schemas.openxmlformats.org/officeDocument/2006/customXml" ds:itemID="{490E7C7C-ECED-CD48-ACFC-1F51C764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24444</Words>
  <Characters>134443</Characters>
  <Application>Microsoft Macintosh Word</Application>
  <DocSecurity>0</DocSecurity>
  <Lines>1120</Lines>
  <Paragraphs>317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ECHR</vt:lpstr>
      <vt:lpstr>ECHR</vt:lpstr>
    </vt:vector>
  </TitlesOfParts>
  <LinksUpToDate>false</LinksUpToDate>
  <CharactersWithSpaces>158570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2017-03-01T08:07:00Z</dcterms:created>
  <dcterms:modified xsi:type="dcterms:W3CDTF">2017-03-01T08:07:00Z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